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97355" w14:textId="0A9875F5" w:rsidR="000B0518" w:rsidRPr="0027140C" w:rsidRDefault="00607FD5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PHASE MODEL / </w:t>
      </w:r>
      <w:r w:rsidR="00086989" w:rsidRPr="0027140C">
        <w:rPr>
          <w:rFonts w:asciiTheme="majorHAnsi" w:hAnsiTheme="majorHAnsi"/>
          <w:b/>
        </w:rPr>
        <w:t>LIFE TRAJECTORY</w:t>
      </w:r>
      <w:r>
        <w:rPr>
          <w:rFonts w:asciiTheme="majorHAnsi" w:hAnsiTheme="majorHAnsi"/>
          <w:b/>
        </w:rPr>
        <w:t xml:space="preserve"> </w:t>
      </w:r>
      <w:r w:rsidR="00CF7808" w:rsidRPr="0027140C">
        <w:rPr>
          <w:rFonts w:asciiTheme="majorHAnsi" w:hAnsiTheme="majorHAnsi"/>
          <w:b/>
        </w:rPr>
        <w:t>(in relation to supportive and palliative care)</w:t>
      </w:r>
    </w:p>
    <w:p w14:paraId="5ACA6D9A" w14:textId="77777777" w:rsidR="00086989" w:rsidRDefault="00086989">
      <w:pPr>
        <w:rPr>
          <w:rFonts w:asciiTheme="majorHAnsi" w:hAnsiTheme="majorHAnsi"/>
        </w:rPr>
      </w:pPr>
    </w:p>
    <w:p w14:paraId="776B9CDF" w14:textId="3EBB7F99" w:rsidR="007F1649" w:rsidRPr="002C6987" w:rsidRDefault="007F1649">
      <w:pPr>
        <w:rPr>
          <w:rFonts w:asciiTheme="majorHAnsi" w:hAnsiTheme="majorHAnsi"/>
          <w:b/>
          <w:i/>
        </w:rPr>
      </w:pPr>
      <w:r w:rsidRPr="002C6987">
        <w:rPr>
          <w:rFonts w:asciiTheme="majorHAnsi" w:hAnsiTheme="majorHAnsi"/>
          <w:b/>
          <w:i/>
        </w:rPr>
        <w:t>Antenatal awareness</w:t>
      </w:r>
    </w:p>
    <w:p w14:paraId="355E882F" w14:textId="35D62B4D" w:rsidR="007F1649" w:rsidRPr="002C6987" w:rsidRDefault="007F1649">
      <w:pPr>
        <w:rPr>
          <w:rFonts w:asciiTheme="majorHAnsi" w:hAnsiTheme="majorHAnsi"/>
          <w:i/>
        </w:rPr>
      </w:pPr>
      <w:r w:rsidRPr="002C6987">
        <w:rPr>
          <w:rFonts w:asciiTheme="majorHAnsi" w:hAnsiTheme="majorHAnsi"/>
          <w:i/>
        </w:rPr>
        <w:t>Genetic testing</w:t>
      </w:r>
    </w:p>
    <w:p w14:paraId="22441C9B" w14:textId="2BA81264" w:rsidR="00EF58E7" w:rsidRPr="002C6987" w:rsidRDefault="00EF58E7">
      <w:pPr>
        <w:rPr>
          <w:rFonts w:asciiTheme="majorHAnsi" w:hAnsiTheme="majorHAnsi"/>
          <w:i/>
        </w:rPr>
      </w:pPr>
      <w:r w:rsidRPr="002C6987">
        <w:rPr>
          <w:rFonts w:asciiTheme="majorHAnsi" w:hAnsiTheme="majorHAnsi"/>
          <w:i/>
        </w:rPr>
        <w:t>Foetal assessment</w:t>
      </w:r>
    </w:p>
    <w:p w14:paraId="3A1AE3FA" w14:textId="77777777" w:rsidR="007F1649" w:rsidRPr="002C6987" w:rsidRDefault="007F1649">
      <w:pPr>
        <w:rPr>
          <w:rFonts w:asciiTheme="majorHAnsi" w:hAnsiTheme="majorHAnsi"/>
          <w:i/>
        </w:rPr>
      </w:pPr>
    </w:p>
    <w:p w14:paraId="5C838B08" w14:textId="34A8CE07" w:rsidR="00086989" w:rsidRPr="002C6987" w:rsidRDefault="00086989">
      <w:pPr>
        <w:rPr>
          <w:rFonts w:asciiTheme="majorHAnsi" w:hAnsiTheme="majorHAnsi"/>
          <w:b/>
          <w:i/>
        </w:rPr>
      </w:pPr>
      <w:r w:rsidRPr="002C6987">
        <w:rPr>
          <w:rFonts w:asciiTheme="majorHAnsi" w:hAnsiTheme="majorHAnsi"/>
          <w:b/>
          <w:i/>
        </w:rPr>
        <w:t>Birth</w:t>
      </w:r>
    </w:p>
    <w:p w14:paraId="3D79A512" w14:textId="77777777" w:rsidR="00086989" w:rsidRPr="002C6987" w:rsidRDefault="00086989" w:rsidP="00086989">
      <w:pPr>
        <w:rPr>
          <w:rFonts w:asciiTheme="majorHAnsi" w:hAnsiTheme="majorHAnsi"/>
          <w:i/>
        </w:rPr>
      </w:pPr>
      <w:r w:rsidRPr="002C6987">
        <w:rPr>
          <w:rFonts w:asciiTheme="majorHAnsi" w:hAnsiTheme="majorHAnsi"/>
          <w:i/>
        </w:rPr>
        <w:t>Gradual accrual of disease burden</w:t>
      </w:r>
    </w:p>
    <w:p w14:paraId="7EBE8458" w14:textId="6C40BAD9" w:rsidR="00086989" w:rsidRPr="002C6987" w:rsidRDefault="00086989" w:rsidP="00086989">
      <w:pPr>
        <w:rPr>
          <w:rFonts w:asciiTheme="majorHAnsi" w:hAnsiTheme="majorHAnsi"/>
          <w:i/>
        </w:rPr>
      </w:pPr>
      <w:r w:rsidRPr="002C6987">
        <w:rPr>
          <w:rFonts w:asciiTheme="majorHAnsi" w:hAnsiTheme="majorHAnsi"/>
          <w:i/>
        </w:rPr>
        <w:t xml:space="preserve">Impact on </w:t>
      </w:r>
      <w:r w:rsidR="00587913" w:rsidRPr="002C6987">
        <w:rPr>
          <w:rFonts w:asciiTheme="majorHAnsi" w:hAnsiTheme="majorHAnsi"/>
          <w:i/>
        </w:rPr>
        <w:t>well-being</w:t>
      </w:r>
      <w:r w:rsidRPr="002C6987">
        <w:rPr>
          <w:rFonts w:asciiTheme="majorHAnsi" w:hAnsiTheme="majorHAnsi"/>
          <w:i/>
        </w:rPr>
        <w:t xml:space="preserve"> at a level that is ‘ok’</w:t>
      </w:r>
    </w:p>
    <w:p w14:paraId="6DE817E1" w14:textId="77120E9A" w:rsidR="00086989" w:rsidRPr="002C6987" w:rsidRDefault="007F1649" w:rsidP="00086989">
      <w:pPr>
        <w:rPr>
          <w:rFonts w:asciiTheme="majorHAnsi" w:hAnsiTheme="majorHAnsi"/>
          <w:i/>
        </w:rPr>
      </w:pPr>
      <w:r w:rsidRPr="002C6987">
        <w:rPr>
          <w:rFonts w:asciiTheme="majorHAnsi" w:hAnsiTheme="majorHAnsi"/>
          <w:i/>
        </w:rPr>
        <w:t>Condition</w:t>
      </w:r>
      <w:r w:rsidR="00086989" w:rsidRPr="002C6987">
        <w:rPr>
          <w:rFonts w:asciiTheme="majorHAnsi" w:hAnsiTheme="majorHAnsi"/>
          <w:i/>
        </w:rPr>
        <w:t xml:space="preserve"> management</w:t>
      </w:r>
      <w:r w:rsidRPr="002C6987">
        <w:rPr>
          <w:rFonts w:asciiTheme="majorHAnsi" w:hAnsiTheme="majorHAnsi"/>
          <w:i/>
        </w:rPr>
        <w:t xml:space="preserve"> (aggressive) </w:t>
      </w:r>
    </w:p>
    <w:p w14:paraId="7BE912F0" w14:textId="6CA7A64C" w:rsidR="00086989" w:rsidRPr="002C6987" w:rsidRDefault="00587913" w:rsidP="00086989">
      <w:pPr>
        <w:rPr>
          <w:rFonts w:asciiTheme="majorHAnsi" w:hAnsiTheme="majorHAnsi"/>
          <w:i/>
        </w:rPr>
      </w:pPr>
      <w:r w:rsidRPr="002C6987">
        <w:rPr>
          <w:rFonts w:asciiTheme="majorHAnsi" w:hAnsiTheme="majorHAnsi"/>
          <w:i/>
        </w:rPr>
        <w:t>Symptomatic relief</w:t>
      </w:r>
    </w:p>
    <w:p w14:paraId="6AF24E03" w14:textId="77777777" w:rsidR="00587913" w:rsidRDefault="00587913" w:rsidP="00086989">
      <w:pPr>
        <w:rPr>
          <w:rFonts w:asciiTheme="majorHAnsi" w:hAnsiTheme="majorHAnsi"/>
        </w:rPr>
      </w:pPr>
    </w:p>
    <w:p w14:paraId="0AC727C1" w14:textId="2F0D21BF" w:rsidR="007F1649" w:rsidRPr="0027140C" w:rsidRDefault="007F1649" w:rsidP="00086989">
      <w:pPr>
        <w:rPr>
          <w:rFonts w:asciiTheme="majorHAnsi" w:hAnsiTheme="majorHAnsi"/>
          <w:b/>
        </w:rPr>
      </w:pPr>
      <w:r w:rsidRPr="0027140C">
        <w:rPr>
          <w:rFonts w:asciiTheme="majorHAnsi" w:hAnsiTheme="majorHAnsi"/>
          <w:b/>
        </w:rPr>
        <w:t xml:space="preserve">Diagnosis </w:t>
      </w:r>
    </w:p>
    <w:p w14:paraId="3788794C" w14:textId="77777777" w:rsidR="00086989" w:rsidRDefault="00086989" w:rsidP="00086989">
      <w:pPr>
        <w:rPr>
          <w:rFonts w:asciiTheme="majorHAnsi" w:hAnsiTheme="majorHAnsi"/>
        </w:rPr>
      </w:pPr>
      <w:r>
        <w:rPr>
          <w:rFonts w:asciiTheme="majorHAnsi" w:hAnsiTheme="majorHAnsi"/>
        </w:rPr>
        <w:t>Disease burden reaches critical mass</w:t>
      </w:r>
    </w:p>
    <w:p w14:paraId="09A2390C" w14:textId="605E5C8C" w:rsidR="00086989" w:rsidRDefault="007F1649" w:rsidP="00086989">
      <w:pPr>
        <w:rPr>
          <w:rFonts w:asciiTheme="majorHAnsi" w:hAnsiTheme="majorHAnsi"/>
        </w:rPr>
      </w:pPr>
      <w:r>
        <w:rPr>
          <w:rFonts w:asciiTheme="majorHAnsi" w:hAnsiTheme="majorHAnsi"/>
        </w:rPr>
        <w:t>o</w:t>
      </w:r>
      <w:r w:rsidR="00086989">
        <w:rPr>
          <w:rFonts w:asciiTheme="majorHAnsi" w:hAnsiTheme="majorHAnsi"/>
        </w:rPr>
        <w:t>r</w:t>
      </w:r>
    </w:p>
    <w:p w14:paraId="2F732C12" w14:textId="77777777" w:rsidR="00086989" w:rsidRDefault="00086989" w:rsidP="00086989">
      <w:pPr>
        <w:rPr>
          <w:rFonts w:asciiTheme="majorHAnsi" w:hAnsiTheme="majorHAnsi"/>
        </w:rPr>
      </w:pPr>
      <w:r>
        <w:rPr>
          <w:rFonts w:asciiTheme="majorHAnsi" w:hAnsiTheme="majorHAnsi"/>
        </w:rPr>
        <w:t>Something ‘big’ happens</w:t>
      </w:r>
    </w:p>
    <w:p w14:paraId="706E768B" w14:textId="77777777" w:rsidR="00086989" w:rsidRDefault="00086989" w:rsidP="00086989">
      <w:pPr>
        <w:rPr>
          <w:rFonts w:asciiTheme="majorHAnsi" w:hAnsiTheme="majorHAnsi"/>
        </w:rPr>
      </w:pPr>
    </w:p>
    <w:p w14:paraId="58C6A1B0" w14:textId="21188221" w:rsidR="00086989" w:rsidRPr="0027140C" w:rsidRDefault="00DF6EB2" w:rsidP="00086989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Early / </w:t>
      </w:r>
      <w:r w:rsidR="00086989" w:rsidRPr="0027140C">
        <w:rPr>
          <w:rFonts w:asciiTheme="majorHAnsi" w:hAnsiTheme="majorHAnsi"/>
          <w:b/>
        </w:rPr>
        <w:t>‘Aggr</w:t>
      </w:r>
      <w:r>
        <w:rPr>
          <w:rFonts w:asciiTheme="majorHAnsi" w:hAnsiTheme="majorHAnsi"/>
          <w:b/>
        </w:rPr>
        <w:t>essive Disease Management’ (ADM)</w:t>
      </w:r>
    </w:p>
    <w:p w14:paraId="1F1143EC" w14:textId="61AF8BB2" w:rsidR="007F1649" w:rsidRDefault="007F1649" w:rsidP="00086989">
      <w:pPr>
        <w:rPr>
          <w:rFonts w:asciiTheme="majorHAnsi" w:hAnsiTheme="majorHAnsi"/>
        </w:rPr>
      </w:pPr>
      <w:r>
        <w:rPr>
          <w:rFonts w:asciiTheme="majorHAnsi" w:hAnsiTheme="majorHAnsi"/>
        </w:rPr>
        <w:t>Good/adequate response to treatment</w:t>
      </w:r>
    </w:p>
    <w:p w14:paraId="222F6145" w14:textId="77777777" w:rsidR="00587913" w:rsidRDefault="00587913" w:rsidP="00587913">
      <w:pPr>
        <w:rPr>
          <w:rFonts w:asciiTheme="majorHAnsi" w:hAnsiTheme="majorHAnsi"/>
        </w:rPr>
      </w:pPr>
      <w:r>
        <w:rPr>
          <w:rFonts w:asciiTheme="majorHAnsi" w:hAnsiTheme="majorHAnsi"/>
        </w:rPr>
        <w:t>Symptomatic relief</w:t>
      </w:r>
    </w:p>
    <w:p w14:paraId="268F105F" w14:textId="03093852" w:rsidR="007F1649" w:rsidRDefault="007F1649" w:rsidP="00086989">
      <w:pPr>
        <w:rPr>
          <w:rFonts w:asciiTheme="majorHAnsi" w:hAnsiTheme="majorHAnsi"/>
        </w:rPr>
      </w:pPr>
      <w:r>
        <w:rPr>
          <w:rFonts w:asciiTheme="majorHAnsi" w:hAnsiTheme="majorHAnsi"/>
        </w:rPr>
        <w:t>Wellbeing maintained/diminishing but at acceptable level</w:t>
      </w:r>
    </w:p>
    <w:p w14:paraId="13C241B6" w14:textId="474278FD" w:rsidR="007F1649" w:rsidRDefault="007F1649" w:rsidP="00086989">
      <w:pPr>
        <w:rPr>
          <w:rFonts w:asciiTheme="majorHAnsi" w:hAnsiTheme="majorHAnsi"/>
        </w:rPr>
      </w:pPr>
      <w:r>
        <w:rPr>
          <w:rFonts w:asciiTheme="majorHAnsi" w:hAnsiTheme="majorHAnsi"/>
        </w:rPr>
        <w:t>Varying awareness of ‘enormity’ of it all</w:t>
      </w:r>
    </w:p>
    <w:p w14:paraId="050D3A60" w14:textId="77777777" w:rsidR="00587913" w:rsidRDefault="00587913">
      <w:pPr>
        <w:rPr>
          <w:rFonts w:asciiTheme="majorHAnsi" w:hAnsiTheme="majorHAnsi"/>
        </w:rPr>
      </w:pPr>
    </w:p>
    <w:p w14:paraId="45E21D3C" w14:textId="02C7D128" w:rsidR="00086989" w:rsidRPr="0027140C" w:rsidRDefault="00DF6EB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Complex</w:t>
      </w:r>
    </w:p>
    <w:p w14:paraId="0E887312" w14:textId="77777777" w:rsidR="00086989" w:rsidRDefault="00086989">
      <w:pPr>
        <w:rPr>
          <w:rFonts w:asciiTheme="majorHAnsi" w:hAnsiTheme="majorHAnsi"/>
        </w:rPr>
      </w:pPr>
      <w:r>
        <w:rPr>
          <w:rFonts w:asciiTheme="majorHAnsi" w:hAnsiTheme="majorHAnsi"/>
        </w:rPr>
        <w:t>Continuing ADM but with less response / impact</w:t>
      </w:r>
    </w:p>
    <w:p w14:paraId="0EB34BD1" w14:textId="7B2A9835" w:rsidR="00587913" w:rsidRDefault="00587913">
      <w:pPr>
        <w:rPr>
          <w:rFonts w:asciiTheme="majorHAnsi" w:hAnsiTheme="majorHAnsi"/>
        </w:rPr>
      </w:pPr>
      <w:r>
        <w:rPr>
          <w:rFonts w:asciiTheme="majorHAnsi" w:hAnsiTheme="majorHAnsi"/>
        </w:rPr>
        <w:t>Symptomatic relief</w:t>
      </w:r>
    </w:p>
    <w:p w14:paraId="23B33F13" w14:textId="547AB991" w:rsidR="00086989" w:rsidRDefault="00086989">
      <w:pPr>
        <w:rPr>
          <w:rFonts w:asciiTheme="majorHAnsi" w:hAnsiTheme="majorHAnsi"/>
        </w:rPr>
      </w:pPr>
      <w:r>
        <w:rPr>
          <w:rFonts w:asciiTheme="majorHAnsi" w:hAnsiTheme="majorHAnsi"/>
        </w:rPr>
        <w:t>Diminishing wellbeing</w:t>
      </w:r>
      <w:r w:rsidR="00587913">
        <w:rPr>
          <w:rFonts w:asciiTheme="majorHAnsi" w:hAnsiTheme="majorHAnsi"/>
        </w:rPr>
        <w:t xml:space="preserve"> (speed critical)</w:t>
      </w:r>
    </w:p>
    <w:p w14:paraId="2E8784F5" w14:textId="77777777" w:rsidR="00086989" w:rsidRDefault="0008698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Increasing awareness of ‘enormity’ of it all </w:t>
      </w:r>
    </w:p>
    <w:p w14:paraId="0871FC52" w14:textId="193301EF" w:rsidR="002C6987" w:rsidRDefault="002C6987">
      <w:pPr>
        <w:rPr>
          <w:rFonts w:asciiTheme="majorHAnsi" w:hAnsiTheme="majorHAnsi"/>
        </w:rPr>
      </w:pPr>
      <w:r>
        <w:rPr>
          <w:rFonts w:asciiTheme="majorHAnsi" w:hAnsiTheme="majorHAnsi"/>
        </w:rPr>
        <w:t>Acceptance level</w:t>
      </w:r>
    </w:p>
    <w:p w14:paraId="200488AB" w14:textId="77777777" w:rsidR="00086989" w:rsidRDefault="00086989">
      <w:pPr>
        <w:rPr>
          <w:rFonts w:asciiTheme="majorHAnsi" w:hAnsiTheme="majorHAnsi"/>
        </w:rPr>
      </w:pPr>
    </w:p>
    <w:p w14:paraId="68FBBD8B" w14:textId="586E78AE" w:rsidR="00086989" w:rsidRPr="0027140C" w:rsidRDefault="00DF6EB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Prodromal</w:t>
      </w:r>
    </w:p>
    <w:p w14:paraId="1CA36AE5" w14:textId="77777777" w:rsidR="00086989" w:rsidRDefault="00086989">
      <w:pPr>
        <w:rPr>
          <w:rFonts w:asciiTheme="majorHAnsi" w:hAnsiTheme="majorHAnsi"/>
        </w:rPr>
      </w:pPr>
      <w:r>
        <w:rPr>
          <w:rFonts w:asciiTheme="majorHAnsi" w:hAnsiTheme="majorHAnsi"/>
        </w:rPr>
        <w:t>Continuing or diminishing ADM</w:t>
      </w:r>
    </w:p>
    <w:p w14:paraId="2C1E2A5B" w14:textId="7B98A2D8" w:rsidR="00587913" w:rsidRDefault="00587913">
      <w:pPr>
        <w:rPr>
          <w:rFonts w:asciiTheme="majorHAnsi" w:hAnsiTheme="majorHAnsi"/>
        </w:rPr>
      </w:pPr>
      <w:r>
        <w:rPr>
          <w:rFonts w:asciiTheme="majorHAnsi" w:hAnsiTheme="majorHAnsi"/>
        </w:rPr>
        <w:t>Symptomatic relief</w:t>
      </w:r>
    </w:p>
    <w:p w14:paraId="54DDE0A0" w14:textId="5EFF39CF" w:rsidR="002C6987" w:rsidRDefault="00086989">
      <w:pPr>
        <w:rPr>
          <w:rFonts w:asciiTheme="majorHAnsi" w:hAnsiTheme="majorHAnsi"/>
        </w:rPr>
      </w:pPr>
      <w:r>
        <w:rPr>
          <w:rFonts w:asciiTheme="majorHAnsi" w:hAnsiTheme="majorHAnsi"/>
        </w:rPr>
        <w:t>Diminishing wellbeing</w:t>
      </w:r>
      <w:r w:rsidR="00587913">
        <w:rPr>
          <w:rFonts w:asciiTheme="majorHAnsi" w:hAnsiTheme="majorHAnsi"/>
        </w:rPr>
        <w:t xml:space="preserve"> (speed critical)</w:t>
      </w:r>
    </w:p>
    <w:p w14:paraId="2E8292DD" w14:textId="77777777" w:rsidR="00086989" w:rsidRDefault="00086989">
      <w:pPr>
        <w:rPr>
          <w:rFonts w:asciiTheme="majorHAnsi" w:hAnsiTheme="majorHAnsi"/>
        </w:rPr>
      </w:pPr>
      <w:r>
        <w:rPr>
          <w:rFonts w:asciiTheme="majorHAnsi" w:hAnsiTheme="majorHAnsi"/>
        </w:rPr>
        <w:t>Increasing acceptance of ‘enormity’ of it all</w:t>
      </w:r>
    </w:p>
    <w:p w14:paraId="218DC938" w14:textId="77777777" w:rsidR="00086989" w:rsidRDefault="00086989">
      <w:pPr>
        <w:rPr>
          <w:rFonts w:asciiTheme="majorHAnsi" w:hAnsiTheme="majorHAnsi"/>
        </w:rPr>
      </w:pPr>
    </w:p>
    <w:p w14:paraId="576D2E34" w14:textId="2FB79E48" w:rsidR="00086989" w:rsidRPr="0027140C" w:rsidRDefault="001409D6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Last Stages of L</w:t>
      </w:r>
      <w:r w:rsidR="00086989" w:rsidRPr="0027140C">
        <w:rPr>
          <w:rFonts w:asciiTheme="majorHAnsi" w:hAnsiTheme="majorHAnsi"/>
          <w:b/>
        </w:rPr>
        <w:t>ife</w:t>
      </w:r>
    </w:p>
    <w:p w14:paraId="129257F6" w14:textId="77777777" w:rsidR="00086989" w:rsidRDefault="00086989">
      <w:pPr>
        <w:rPr>
          <w:rFonts w:asciiTheme="majorHAnsi" w:hAnsiTheme="majorHAnsi"/>
        </w:rPr>
      </w:pPr>
      <w:r>
        <w:rPr>
          <w:rFonts w:asciiTheme="majorHAnsi" w:hAnsiTheme="majorHAnsi"/>
        </w:rPr>
        <w:t>Cessation of ADM</w:t>
      </w:r>
    </w:p>
    <w:p w14:paraId="29AC3C92" w14:textId="541C15BC" w:rsidR="00587913" w:rsidRDefault="00587913">
      <w:pPr>
        <w:rPr>
          <w:rFonts w:asciiTheme="majorHAnsi" w:hAnsiTheme="majorHAnsi"/>
        </w:rPr>
      </w:pPr>
      <w:r>
        <w:rPr>
          <w:rFonts w:asciiTheme="majorHAnsi" w:hAnsiTheme="majorHAnsi"/>
        </w:rPr>
        <w:t>Symptomatic relief</w:t>
      </w:r>
    </w:p>
    <w:p w14:paraId="13452E65" w14:textId="512A6D18" w:rsidR="00086989" w:rsidRDefault="00587913">
      <w:pPr>
        <w:rPr>
          <w:rFonts w:asciiTheme="majorHAnsi" w:hAnsiTheme="majorHAnsi"/>
        </w:rPr>
      </w:pPr>
      <w:r>
        <w:rPr>
          <w:rFonts w:asciiTheme="majorHAnsi" w:hAnsiTheme="majorHAnsi"/>
        </w:rPr>
        <w:t>Rapidly d</w:t>
      </w:r>
      <w:r w:rsidR="00086989">
        <w:rPr>
          <w:rFonts w:asciiTheme="majorHAnsi" w:hAnsiTheme="majorHAnsi"/>
        </w:rPr>
        <w:t>iminishing wellbeing</w:t>
      </w:r>
    </w:p>
    <w:p w14:paraId="60118ABE" w14:textId="1CF91354" w:rsidR="00086989" w:rsidRDefault="00086989">
      <w:pPr>
        <w:rPr>
          <w:rFonts w:asciiTheme="majorHAnsi" w:hAnsiTheme="majorHAnsi"/>
        </w:rPr>
      </w:pPr>
      <w:r>
        <w:rPr>
          <w:rFonts w:asciiTheme="majorHAnsi" w:hAnsiTheme="majorHAnsi"/>
        </w:rPr>
        <w:t>Acceptance (?)</w:t>
      </w:r>
      <w:r w:rsidR="0027140C">
        <w:rPr>
          <w:rFonts w:asciiTheme="majorHAnsi" w:hAnsiTheme="majorHAnsi"/>
        </w:rPr>
        <w:t xml:space="preserve"> of enormity of it all and of impending death</w:t>
      </w:r>
    </w:p>
    <w:p w14:paraId="73F27DB6" w14:textId="77777777" w:rsidR="00086989" w:rsidRDefault="00086989">
      <w:pPr>
        <w:rPr>
          <w:rFonts w:asciiTheme="majorHAnsi" w:hAnsiTheme="majorHAnsi"/>
        </w:rPr>
      </w:pPr>
    </w:p>
    <w:p w14:paraId="38CD9C97" w14:textId="77777777" w:rsidR="00086989" w:rsidRPr="0027140C" w:rsidRDefault="00086989">
      <w:pPr>
        <w:rPr>
          <w:rFonts w:asciiTheme="majorHAnsi" w:hAnsiTheme="majorHAnsi"/>
          <w:b/>
        </w:rPr>
      </w:pPr>
      <w:r w:rsidRPr="0027140C">
        <w:rPr>
          <w:rFonts w:asciiTheme="majorHAnsi" w:hAnsiTheme="majorHAnsi"/>
          <w:b/>
        </w:rPr>
        <w:t>Death</w:t>
      </w:r>
    </w:p>
    <w:p w14:paraId="42FD0EDE" w14:textId="77777777" w:rsidR="00086989" w:rsidRDefault="00086989">
      <w:pPr>
        <w:rPr>
          <w:rFonts w:asciiTheme="majorHAnsi" w:hAnsiTheme="majorHAnsi"/>
        </w:rPr>
      </w:pPr>
    </w:p>
    <w:p w14:paraId="1A674E11" w14:textId="2DCFEB3D" w:rsidR="0027140C" w:rsidRPr="0027140C" w:rsidRDefault="0027140C">
      <w:pPr>
        <w:rPr>
          <w:rFonts w:asciiTheme="majorHAnsi" w:hAnsiTheme="majorHAnsi"/>
          <w:b/>
        </w:rPr>
      </w:pPr>
      <w:r w:rsidRPr="0027140C">
        <w:rPr>
          <w:rFonts w:asciiTheme="majorHAnsi" w:hAnsiTheme="majorHAnsi"/>
          <w:b/>
        </w:rPr>
        <w:t>Legacy</w:t>
      </w:r>
    </w:p>
    <w:p w14:paraId="082A9FC5" w14:textId="64E6A347" w:rsidR="0027140C" w:rsidRDefault="0027140C">
      <w:pPr>
        <w:rPr>
          <w:rFonts w:asciiTheme="majorHAnsi" w:hAnsiTheme="majorHAnsi"/>
        </w:rPr>
      </w:pPr>
      <w:r>
        <w:rPr>
          <w:rFonts w:asciiTheme="majorHAnsi" w:hAnsiTheme="majorHAnsi"/>
        </w:rPr>
        <w:t>Impact of individual</w:t>
      </w:r>
      <w:r w:rsidR="00650D06">
        <w:rPr>
          <w:rFonts w:asciiTheme="majorHAnsi" w:hAnsiTheme="majorHAnsi"/>
        </w:rPr>
        <w:t>’</w:t>
      </w:r>
      <w:r>
        <w:rPr>
          <w:rFonts w:asciiTheme="majorHAnsi" w:hAnsiTheme="majorHAnsi"/>
        </w:rPr>
        <w:t>s life/death on those left behind</w:t>
      </w:r>
    </w:p>
    <w:p w14:paraId="51612DB9" w14:textId="77777777" w:rsidR="0027140C" w:rsidRDefault="0027140C">
      <w:pPr>
        <w:rPr>
          <w:rFonts w:asciiTheme="majorHAnsi" w:hAnsiTheme="majorHAnsi"/>
        </w:rPr>
      </w:pPr>
    </w:p>
    <w:p w14:paraId="2C7453CE" w14:textId="039BC18A" w:rsidR="00587913" w:rsidRPr="00607FD5" w:rsidRDefault="00587913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  <w:r w:rsidRPr="00587913">
        <w:rPr>
          <w:rFonts w:asciiTheme="majorHAnsi" w:hAnsiTheme="majorHAnsi"/>
          <w:b/>
        </w:rPr>
        <w:lastRenderedPageBreak/>
        <w:t>Key issues</w:t>
      </w:r>
      <w:r w:rsidR="009603F7">
        <w:rPr>
          <w:rFonts w:asciiTheme="majorHAnsi" w:hAnsiTheme="majorHAnsi"/>
          <w:b/>
        </w:rPr>
        <w:t xml:space="preserve"> (some)</w:t>
      </w:r>
    </w:p>
    <w:p w14:paraId="317FCF67" w14:textId="77777777" w:rsidR="00086989" w:rsidRDefault="00086989">
      <w:pPr>
        <w:rPr>
          <w:rFonts w:asciiTheme="majorHAnsi" w:hAnsiTheme="majorHAnsi"/>
        </w:rPr>
      </w:pPr>
    </w:p>
    <w:p w14:paraId="0F446C9A" w14:textId="77777777" w:rsidR="00086989" w:rsidRPr="001658CB" w:rsidRDefault="00086989">
      <w:pPr>
        <w:rPr>
          <w:rFonts w:asciiTheme="majorHAnsi" w:hAnsiTheme="majorHAnsi"/>
          <w:b/>
        </w:rPr>
      </w:pPr>
      <w:r w:rsidRPr="001658CB">
        <w:rPr>
          <w:rFonts w:asciiTheme="majorHAnsi" w:hAnsiTheme="majorHAnsi"/>
          <w:b/>
        </w:rPr>
        <w:t xml:space="preserve">Disease burden </w:t>
      </w:r>
      <w:r w:rsidR="00CF7808" w:rsidRPr="001658CB">
        <w:rPr>
          <w:rFonts w:asciiTheme="majorHAnsi" w:hAnsiTheme="majorHAnsi"/>
          <w:b/>
        </w:rPr>
        <w:t>level</w:t>
      </w:r>
    </w:p>
    <w:p w14:paraId="4BE2A7DF" w14:textId="5262A168" w:rsidR="002C6987" w:rsidRDefault="002C6987">
      <w:pPr>
        <w:rPr>
          <w:rFonts w:asciiTheme="majorHAnsi" w:hAnsiTheme="majorHAnsi"/>
        </w:rPr>
      </w:pPr>
      <w:r>
        <w:rPr>
          <w:rFonts w:asciiTheme="majorHAnsi" w:hAnsiTheme="majorHAnsi"/>
        </w:rPr>
        <w:t>How muc</w:t>
      </w:r>
      <w:r w:rsidR="001658CB">
        <w:rPr>
          <w:rFonts w:asciiTheme="majorHAnsi" w:hAnsiTheme="majorHAnsi"/>
        </w:rPr>
        <w:t>h can the individual ‘stand’?</w:t>
      </w:r>
    </w:p>
    <w:p w14:paraId="162C4267" w14:textId="770E82E9" w:rsidR="002C6987" w:rsidRDefault="002C6987" w:rsidP="007569A5">
      <w:pPr>
        <w:rPr>
          <w:rFonts w:asciiTheme="majorHAnsi" w:hAnsiTheme="majorHAnsi"/>
        </w:rPr>
      </w:pPr>
      <w:r>
        <w:rPr>
          <w:rFonts w:asciiTheme="majorHAnsi" w:hAnsiTheme="majorHAnsi"/>
        </w:rPr>
        <w:t>How individual/variable is it?</w:t>
      </w:r>
    </w:p>
    <w:p w14:paraId="7BFE6E18" w14:textId="77777777" w:rsidR="001658CB" w:rsidRDefault="001658CB">
      <w:pPr>
        <w:rPr>
          <w:rFonts w:asciiTheme="majorHAnsi" w:hAnsiTheme="majorHAnsi"/>
          <w:b/>
        </w:rPr>
      </w:pPr>
    </w:p>
    <w:p w14:paraId="4F6D21A6" w14:textId="51246333" w:rsidR="00D50110" w:rsidRPr="001658CB" w:rsidRDefault="00D50110">
      <w:pPr>
        <w:rPr>
          <w:rFonts w:asciiTheme="majorHAnsi" w:hAnsiTheme="majorHAnsi"/>
          <w:b/>
        </w:rPr>
      </w:pPr>
      <w:r w:rsidRPr="001658CB">
        <w:rPr>
          <w:rFonts w:asciiTheme="majorHAnsi" w:hAnsiTheme="majorHAnsi"/>
          <w:b/>
        </w:rPr>
        <w:t>Disability threshold</w:t>
      </w:r>
    </w:p>
    <w:p w14:paraId="58126320" w14:textId="23C2A5DE" w:rsidR="002C6987" w:rsidRDefault="002C6987">
      <w:pPr>
        <w:rPr>
          <w:rFonts w:asciiTheme="majorHAnsi" w:hAnsiTheme="majorHAnsi"/>
        </w:rPr>
      </w:pPr>
      <w:r>
        <w:rPr>
          <w:rFonts w:asciiTheme="majorHAnsi" w:hAnsiTheme="majorHAnsi"/>
        </w:rPr>
        <w:t>Who sets this?</w:t>
      </w:r>
    </w:p>
    <w:p w14:paraId="1DD72F4A" w14:textId="7D61F868" w:rsidR="002C6987" w:rsidRDefault="002C6987">
      <w:pPr>
        <w:rPr>
          <w:rFonts w:asciiTheme="majorHAnsi" w:hAnsiTheme="majorHAnsi"/>
        </w:rPr>
      </w:pPr>
      <w:r>
        <w:rPr>
          <w:rFonts w:asciiTheme="majorHAnsi" w:hAnsiTheme="majorHAnsi"/>
        </w:rPr>
        <w:t>How individual is it?</w:t>
      </w:r>
    </w:p>
    <w:p w14:paraId="28B0C4DB" w14:textId="77777777" w:rsidR="00D50110" w:rsidRDefault="00D50110">
      <w:pPr>
        <w:rPr>
          <w:rFonts w:asciiTheme="majorHAnsi" w:hAnsiTheme="majorHAnsi"/>
        </w:rPr>
      </w:pPr>
    </w:p>
    <w:p w14:paraId="207CE073" w14:textId="55680342" w:rsidR="00D50110" w:rsidRPr="001658CB" w:rsidRDefault="00587913">
      <w:pPr>
        <w:rPr>
          <w:rFonts w:asciiTheme="majorHAnsi" w:hAnsiTheme="majorHAnsi"/>
          <w:b/>
        </w:rPr>
      </w:pPr>
      <w:r w:rsidRPr="001658CB">
        <w:rPr>
          <w:rFonts w:asciiTheme="majorHAnsi" w:hAnsiTheme="majorHAnsi"/>
          <w:b/>
        </w:rPr>
        <w:t>Independency / d</w:t>
      </w:r>
      <w:r w:rsidR="00D50110" w:rsidRPr="001658CB">
        <w:rPr>
          <w:rFonts w:asciiTheme="majorHAnsi" w:hAnsiTheme="majorHAnsi"/>
          <w:b/>
        </w:rPr>
        <w:t>ependency threshold</w:t>
      </w:r>
    </w:p>
    <w:p w14:paraId="3F198E8C" w14:textId="7009F37F" w:rsidR="000E18D3" w:rsidRDefault="000E18D3" w:rsidP="000E18D3">
      <w:pPr>
        <w:rPr>
          <w:rFonts w:asciiTheme="majorHAnsi" w:hAnsiTheme="majorHAnsi"/>
        </w:rPr>
      </w:pPr>
    </w:p>
    <w:p w14:paraId="1787B991" w14:textId="634AF002" w:rsidR="000E18D3" w:rsidRPr="001658CB" w:rsidRDefault="000E18D3" w:rsidP="000E18D3">
      <w:pPr>
        <w:rPr>
          <w:rFonts w:asciiTheme="majorHAnsi" w:hAnsiTheme="majorHAnsi"/>
          <w:b/>
        </w:rPr>
      </w:pPr>
      <w:r w:rsidRPr="001658CB">
        <w:rPr>
          <w:rFonts w:asciiTheme="majorHAnsi" w:hAnsiTheme="majorHAnsi"/>
          <w:b/>
        </w:rPr>
        <w:t>Treatment aims</w:t>
      </w:r>
    </w:p>
    <w:p w14:paraId="2676C66F" w14:textId="77777777" w:rsidR="001658CB" w:rsidRDefault="000E18D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Disease modification </w:t>
      </w:r>
    </w:p>
    <w:p w14:paraId="4B7F806C" w14:textId="6D2E5B70" w:rsidR="001658CB" w:rsidRDefault="001658CB">
      <w:pPr>
        <w:rPr>
          <w:rFonts w:asciiTheme="majorHAnsi" w:hAnsiTheme="majorHAnsi"/>
        </w:rPr>
      </w:pPr>
      <w:r>
        <w:rPr>
          <w:rFonts w:asciiTheme="majorHAnsi" w:hAnsiTheme="majorHAnsi"/>
        </w:rPr>
        <w:t>Response to treatment</w:t>
      </w:r>
    </w:p>
    <w:p w14:paraId="4A02A957" w14:textId="4EF36F13" w:rsidR="00753513" w:rsidRDefault="001658CB">
      <w:pPr>
        <w:rPr>
          <w:rFonts w:asciiTheme="majorHAnsi" w:hAnsiTheme="majorHAnsi"/>
        </w:rPr>
      </w:pPr>
      <w:r>
        <w:rPr>
          <w:rFonts w:asciiTheme="majorHAnsi" w:hAnsiTheme="majorHAnsi"/>
        </w:rPr>
        <w:t>Supportive</w:t>
      </w:r>
      <w:r w:rsidR="000E18D3">
        <w:rPr>
          <w:rFonts w:asciiTheme="majorHAnsi" w:hAnsiTheme="majorHAnsi"/>
        </w:rPr>
        <w:t xml:space="preserve"> / Symptom relief</w:t>
      </w:r>
    </w:p>
    <w:p w14:paraId="4D588E5A" w14:textId="1B8F5D91" w:rsidR="00753513" w:rsidRDefault="00753513">
      <w:pPr>
        <w:rPr>
          <w:rFonts w:asciiTheme="majorHAnsi" w:hAnsiTheme="majorHAnsi"/>
        </w:rPr>
      </w:pPr>
    </w:p>
    <w:p w14:paraId="63AFB3F9" w14:textId="3E3ED6B5" w:rsidR="00557AE3" w:rsidRPr="001658CB" w:rsidRDefault="00557AE3">
      <w:pPr>
        <w:rPr>
          <w:rFonts w:asciiTheme="majorHAnsi" w:hAnsiTheme="majorHAnsi"/>
          <w:b/>
        </w:rPr>
      </w:pPr>
      <w:r w:rsidRPr="001658CB">
        <w:rPr>
          <w:rFonts w:asciiTheme="majorHAnsi" w:hAnsiTheme="majorHAnsi"/>
          <w:b/>
        </w:rPr>
        <w:t>Awareness</w:t>
      </w:r>
      <w:r w:rsidR="00F17153" w:rsidRPr="001658CB">
        <w:rPr>
          <w:rFonts w:asciiTheme="majorHAnsi" w:hAnsiTheme="majorHAnsi"/>
          <w:b/>
        </w:rPr>
        <w:t xml:space="preserve"> of seriousness</w:t>
      </w:r>
      <w:r w:rsidRPr="001658CB">
        <w:rPr>
          <w:rFonts w:asciiTheme="majorHAnsi" w:hAnsiTheme="majorHAnsi"/>
          <w:b/>
        </w:rPr>
        <w:t xml:space="preserve"> level</w:t>
      </w:r>
    </w:p>
    <w:p w14:paraId="6B1BF14B" w14:textId="3283A7EA" w:rsidR="002C6987" w:rsidRDefault="002C6987">
      <w:pPr>
        <w:rPr>
          <w:rFonts w:asciiTheme="majorHAnsi" w:hAnsiTheme="majorHAnsi"/>
        </w:rPr>
      </w:pPr>
      <w:r>
        <w:rPr>
          <w:rFonts w:asciiTheme="majorHAnsi" w:hAnsiTheme="majorHAnsi"/>
        </w:rPr>
        <w:t>How much does the patient want to know?</w:t>
      </w:r>
    </w:p>
    <w:p w14:paraId="57C6BC66" w14:textId="7FCD98D7" w:rsidR="002C6987" w:rsidRDefault="002C6987">
      <w:pPr>
        <w:rPr>
          <w:rFonts w:asciiTheme="majorHAnsi" w:hAnsiTheme="majorHAnsi"/>
        </w:rPr>
      </w:pPr>
      <w:r>
        <w:rPr>
          <w:rFonts w:asciiTheme="majorHAnsi" w:hAnsiTheme="majorHAnsi"/>
        </w:rPr>
        <w:t>How much does health care wish to tell?</w:t>
      </w:r>
    </w:p>
    <w:p w14:paraId="4444FA70" w14:textId="0D6D7256" w:rsidR="00DF6EB2" w:rsidRDefault="00DF6EB2">
      <w:pPr>
        <w:rPr>
          <w:rFonts w:asciiTheme="majorHAnsi" w:hAnsiTheme="majorHAnsi"/>
        </w:rPr>
      </w:pPr>
      <w:r>
        <w:rPr>
          <w:rFonts w:asciiTheme="majorHAnsi" w:hAnsiTheme="majorHAnsi"/>
        </w:rPr>
        <w:t>What are the underlying health beliefs of the patient?</w:t>
      </w:r>
    </w:p>
    <w:p w14:paraId="7CB58815" w14:textId="1DB6B0B3" w:rsidR="00557AE3" w:rsidRDefault="00557AE3">
      <w:pPr>
        <w:rPr>
          <w:rFonts w:asciiTheme="majorHAnsi" w:hAnsiTheme="majorHAnsi"/>
        </w:rPr>
      </w:pPr>
    </w:p>
    <w:p w14:paraId="3BC20C6E" w14:textId="491B8D70" w:rsidR="00D50110" w:rsidRPr="001658CB" w:rsidRDefault="00557AE3">
      <w:pPr>
        <w:rPr>
          <w:rFonts w:asciiTheme="majorHAnsi" w:hAnsiTheme="majorHAnsi"/>
          <w:b/>
        </w:rPr>
      </w:pPr>
      <w:r w:rsidRPr="001658CB">
        <w:rPr>
          <w:rFonts w:asciiTheme="majorHAnsi" w:hAnsiTheme="majorHAnsi"/>
          <w:b/>
        </w:rPr>
        <w:t xml:space="preserve">Acceptance </w:t>
      </w:r>
      <w:r w:rsidR="00F17153" w:rsidRPr="001658CB">
        <w:rPr>
          <w:rFonts w:asciiTheme="majorHAnsi" w:hAnsiTheme="majorHAnsi"/>
          <w:b/>
        </w:rPr>
        <w:t xml:space="preserve">of seriousness </w:t>
      </w:r>
      <w:r w:rsidR="00D50110" w:rsidRPr="001658CB">
        <w:rPr>
          <w:rFonts w:asciiTheme="majorHAnsi" w:hAnsiTheme="majorHAnsi"/>
          <w:b/>
        </w:rPr>
        <w:t>level</w:t>
      </w:r>
    </w:p>
    <w:p w14:paraId="05ED8CA0" w14:textId="3AC7F508" w:rsidR="002C6987" w:rsidRDefault="002C6987">
      <w:pPr>
        <w:rPr>
          <w:rFonts w:asciiTheme="majorHAnsi" w:hAnsiTheme="majorHAnsi"/>
        </w:rPr>
      </w:pPr>
      <w:r>
        <w:rPr>
          <w:rFonts w:asciiTheme="majorHAnsi" w:hAnsiTheme="majorHAnsi"/>
        </w:rPr>
        <w:t>Coping strategies</w:t>
      </w:r>
    </w:p>
    <w:p w14:paraId="49EE2C40" w14:textId="77777777" w:rsidR="001658CB" w:rsidRDefault="001658CB" w:rsidP="001658CB">
      <w:pPr>
        <w:rPr>
          <w:rFonts w:asciiTheme="majorHAnsi" w:hAnsiTheme="majorHAnsi"/>
          <w:b/>
        </w:rPr>
      </w:pPr>
    </w:p>
    <w:p w14:paraId="56FC3CCA" w14:textId="6BF8FC26" w:rsidR="001658CB" w:rsidRDefault="001658CB" w:rsidP="001658CB">
      <w:pPr>
        <w:rPr>
          <w:rFonts w:asciiTheme="majorHAnsi" w:hAnsiTheme="majorHAnsi"/>
        </w:rPr>
      </w:pPr>
      <w:r w:rsidRPr="001658CB">
        <w:rPr>
          <w:rFonts w:asciiTheme="majorHAnsi" w:hAnsiTheme="majorHAnsi"/>
          <w:b/>
        </w:rPr>
        <w:t>Level of agreement</w:t>
      </w:r>
      <w:r>
        <w:rPr>
          <w:rFonts w:asciiTheme="majorHAnsi" w:hAnsiTheme="majorHAnsi"/>
        </w:rPr>
        <w:t xml:space="preserve"> (amongst all concerned)</w:t>
      </w:r>
    </w:p>
    <w:p w14:paraId="1E63AB82" w14:textId="4DE81265" w:rsidR="00CF7808" w:rsidRDefault="00CF7808">
      <w:pPr>
        <w:rPr>
          <w:rFonts w:asciiTheme="majorHAnsi" w:hAnsiTheme="majorHAnsi"/>
        </w:rPr>
      </w:pPr>
    </w:p>
    <w:p w14:paraId="2381B0AA" w14:textId="14EDAF03" w:rsidR="000E18D3" w:rsidRPr="001658CB" w:rsidRDefault="000E18D3" w:rsidP="000E18D3">
      <w:pPr>
        <w:rPr>
          <w:rFonts w:asciiTheme="majorHAnsi" w:hAnsiTheme="majorHAnsi"/>
          <w:b/>
        </w:rPr>
      </w:pPr>
      <w:r w:rsidRPr="001658CB">
        <w:rPr>
          <w:rFonts w:asciiTheme="majorHAnsi" w:hAnsiTheme="majorHAnsi"/>
          <w:b/>
        </w:rPr>
        <w:t>Level of certainty/uncertainty</w:t>
      </w:r>
    </w:p>
    <w:p w14:paraId="416330B7" w14:textId="240FF8B1" w:rsidR="000E18D3" w:rsidRDefault="000E18D3" w:rsidP="000E18D3">
      <w:pPr>
        <w:rPr>
          <w:rFonts w:asciiTheme="majorHAnsi" w:hAnsiTheme="majorHAnsi"/>
        </w:rPr>
      </w:pPr>
      <w:r>
        <w:rPr>
          <w:rFonts w:asciiTheme="majorHAnsi" w:hAnsiTheme="majorHAnsi"/>
        </w:rPr>
        <w:t>Health care</w:t>
      </w:r>
    </w:p>
    <w:p w14:paraId="1550B6D9" w14:textId="083CD80F" w:rsidR="000E18D3" w:rsidRDefault="000E18D3" w:rsidP="000E18D3">
      <w:pPr>
        <w:rPr>
          <w:rFonts w:asciiTheme="majorHAnsi" w:hAnsiTheme="majorHAnsi"/>
        </w:rPr>
      </w:pPr>
      <w:r>
        <w:rPr>
          <w:rFonts w:asciiTheme="majorHAnsi" w:hAnsiTheme="majorHAnsi"/>
        </w:rPr>
        <w:t>Patient / carers</w:t>
      </w:r>
    </w:p>
    <w:p w14:paraId="0E135CE3" w14:textId="517109C2" w:rsidR="00470004" w:rsidRDefault="00470004">
      <w:pPr>
        <w:rPr>
          <w:rFonts w:asciiTheme="majorHAnsi" w:hAnsiTheme="majorHAnsi"/>
        </w:rPr>
      </w:pPr>
    </w:p>
    <w:p w14:paraId="794C3BED" w14:textId="74C6EE23" w:rsidR="00A778C9" w:rsidRPr="001658CB" w:rsidRDefault="008763CB">
      <w:pPr>
        <w:rPr>
          <w:rFonts w:asciiTheme="majorHAnsi" w:hAnsiTheme="majorHAnsi"/>
          <w:b/>
        </w:rPr>
      </w:pPr>
      <w:r w:rsidRPr="001658CB">
        <w:rPr>
          <w:rFonts w:asciiTheme="majorHAnsi" w:hAnsiTheme="majorHAnsi"/>
          <w:b/>
        </w:rPr>
        <w:t>The Index of Concern</w:t>
      </w:r>
    </w:p>
    <w:p w14:paraId="181228C5" w14:textId="619CE4DA" w:rsidR="008763CB" w:rsidRDefault="008763CB" w:rsidP="001658CB">
      <w:pPr>
        <w:rPr>
          <w:rFonts w:asciiTheme="majorHAnsi" w:hAnsiTheme="majorHAnsi"/>
        </w:rPr>
      </w:pPr>
      <w:bookmarkStart w:id="0" w:name="_GoBack"/>
      <w:bookmarkEnd w:id="0"/>
      <w:r>
        <w:rPr>
          <w:rFonts w:asciiTheme="majorHAnsi" w:hAnsiTheme="majorHAnsi"/>
        </w:rPr>
        <w:t>A complex interplay of level of seriousness and level of uncertainty</w:t>
      </w:r>
      <w:r w:rsidR="001658CB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>As seriousness or uncertainty increase then so does the index of concern</w:t>
      </w:r>
      <w:r w:rsidR="001658CB">
        <w:rPr>
          <w:rFonts w:asciiTheme="majorHAnsi" w:hAnsiTheme="majorHAnsi"/>
        </w:rPr>
        <w:t>. I</w:t>
      </w:r>
      <w:r>
        <w:rPr>
          <w:rFonts w:asciiTheme="majorHAnsi" w:hAnsiTheme="majorHAnsi"/>
        </w:rPr>
        <w:t xml:space="preserve">f both seriousness and uncertainty </w:t>
      </w:r>
      <w:r w:rsidR="00604F2A">
        <w:rPr>
          <w:rFonts w:asciiTheme="majorHAnsi" w:hAnsiTheme="majorHAnsi"/>
        </w:rPr>
        <w:t>increase,</w:t>
      </w:r>
      <w:r>
        <w:rPr>
          <w:rFonts w:asciiTheme="majorHAnsi" w:hAnsiTheme="majorHAnsi"/>
        </w:rPr>
        <w:t xml:space="preserve"> then the index of concern rises more steeply</w:t>
      </w:r>
    </w:p>
    <w:p w14:paraId="377E6C27" w14:textId="086B4107" w:rsidR="008763CB" w:rsidRDefault="001658CB">
      <w:pPr>
        <w:rPr>
          <w:rFonts w:asciiTheme="majorHAnsi" w:hAnsiTheme="majorHAns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60626E55" wp14:editId="52FF74F4">
                <wp:simplePos x="0" y="0"/>
                <wp:positionH relativeFrom="column">
                  <wp:posOffset>170604</wp:posOffset>
                </wp:positionH>
                <wp:positionV relativeFrom="paragraph">
                  <wp:posOffset>134620</wp:posOffset>
                </wp:positionV>
                <wp:extent cx="2733040" cy="1820545"/>
                <wp:effectExtent l="0" t="0" r="0" b="825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3040" cy="1820545"/>
                          <a:chOff x="0" y="0"/>
                          <a:chExt cx="2733392" cy="1820582"/>
                        </a:xfrm>
                      </wpg:grpSpPr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2767" y="0"/>
                            <a:ext cx="1922126" cy="2666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8922C9D" w14:textId="77777777" w:rsidR="00DF55FB" w:rsidRPr="00355068" w:rsidRDefault="00DF55FB" w:rsidP="00DF55FB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160" w:afterAutospacing="0" w:line="256" w:lineRule="auto"/>
                                <w:jc w:val="center"/>
                                <w:textAlignment w:val="baseline"/>
                              </w:pPr>
                              <w:r w:rsidRPr="00355068">
                                <w:rPr>
                                  <w:rFonts w:ascii="Calibri" w:eastAsia="Calibri" w:hAnsi="Calibri"/>
                                  <w:color w:val="000000" w:themeColor="text1"/>
                                  <w:kern w:val="24"/>
                                </w:rPr>
                                <w:t>Seriousness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Straight Arrow Connector 3"/>
                        <wps:cNvCnPr/>
                        <wps:spPr>
                          <a:xfrm>
                            <a:off x="457200" y="1075267"/>
                            <a:ext cx="1325032" cy="0"/>
                          </a:xfrm>
                          <a:prstGeom prst="straightConnector1">
                            <a:avLst/>
                          </a:prstGeom>
                          <a:ln w="12700">
                            <a:tailEnd type="triangle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Arrow Connector 5"/>
                        <wps:cNvCnPr/>
                        <wps:spPr>
                          <a:xfrm flipV="1">
                            <a:off x="1083733" y="304800"/>
                            <a:ext cx="0" cy="1422461"/>
                          </a:xfrm>
                          <a:prstGeom prst="straightConnector1">
                            <a:avLst/>
                          </a:prstGeom>
                          <a:ln w="12700">
                            <a:tailEnd type="triangle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782233" y="922867"/>
                            <a:ext cx="951159" cy="5055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A27699E" w14:textId="77777777" w:rsidR="00DF55FB" w:rsidRPr="00355068" w:rsidRDefault="00DF55FB" w:rsidP="00DF55FB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160" w:afterAutospacing="0" w:line="256" w:lineRule="auto"/>
                                <w:jc w:val="center"/>
                                <w:textAlignment w:val="baseline"/>
                              </w:pPr>
                              <w:r w:rsidRPr="00355068">
                                <w:rPr>
                                  <w:rFonts w:ascii="Calibri" w:eastAsia="Calibri" w:hAnsi="Calibri"/>
                                  <w:color w:val="000000" w:themeColor="text1"/>
                                  <w:kern w:val="24"/>
                                </w:rPr>
                                <w:t xml:space="preserve">Uncertainty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78467" y="414867"/>
                            <a:ext cx="944680" cy="5245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BF550AC" w14:textId="77777777" w:rsidR="00DF55FB" w:rsidRPr="00355068" w:rsidRDefault="00DF55FB" w:rsidP="00DF55FB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160" w:afterAutospacing="0" w:line="256" w:lineRule="auto"/>
                                <w:jc w:val="center"/>
                                <w:textAlignment w:val="baseline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55068">
                                <w:rPr>
                                  <w:rFonts w:ascii="Calibri" w:eastAsia="Calibri" w:hAnsi="Calibr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NYHA Grade IV Heart Failure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06400"/>
                            <a:ext cx="884766" cy="5455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DED129D" w14:textId="77777777" w:rsidR="00DF55FB" w:rsidRPr="00355068" w:rsidRDefault="00DF55FB" w:rsidP="00DF55FB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160" w:afterAutospacing="0" w:line="256" w:lineRule="auto"/>
                                <w:jc w:val="center"/>
                                <w:textAlignment w:val="baseline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55068">
                                <w:rPr>
                                  <w:rFonts w:ascii="Calibri" w:eastAsia="Calibri" w:hAnsi="Calibr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Metastatic Lung Cancer</w:t>
                              </w:r>
                            </w:p>
                            <w:p w14:paraId="6AF009D1" w14:textId="77777777" w:rsidR="00DF55FB" w:rsidRDefault="00DF55FB" w:rsidP="00DF55FB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160" w:afterAutospacing="0" w:line="256" w:lineRule="auto"/>
                                <w:textAlignment w:val="baseline"/>
                              </w:pPr>
                              <w:r>
                                <w:rPr>
                                  <w:rFonts w:ascii="Calibri" w:eastAsia="Calibri"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430867"/>
                            <a:ext cx="948267" cy="360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1542BAA" w14:textId="77777777" w:rsidR="00DF55FB" w:rsidRPr="00355068" w:rsidRDefault="00DF55FB" w:rsidP="00DF55FB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160" w:afterAutospacing="0" w:line="256" w:lineRule="auto"/>
                                <w:jc w:val="center"/>
                                <w:textAlignment w:val="baseline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55068">
                                <w:rPr>
                                  <w:rFonts w:ascii="Calibri" w:eastAsia="Calibri" w:hAnsi="Calibr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In-growing great toenail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78467" y="1430867"/>
                            <a:ext cx="1114020" cy="3897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1750D02" w14:textId="77777777" w:rsidR="00DF55FB" w:rsidRPr="00355068" w:rsidRDefault="00DF55FB" w:rsidP="00DF55FB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160" w:afterAutospacing="0" w:line="256" w:lineRule="auto"/>
                                <w:jc w:val="center"/>
                                <w:textAlignment w:val="baseline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55068">
                                <w:rPr>
                                  <w:rFonts w:ascii="Calibri" w:eastAsia="Calibri" w:hAnsi="Calibr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Non-specific erythematous rash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626E55" id="Group 1" o:spid="_x0000_s1026" style="position:absolute;margin-left:13.45pt;margin-top:10.6pt;width:215.2pt;height:143.35pt;z-index:251658752" coordsize="27333,18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1227;width:19221;height:26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78922C9D" w14:textId="77777777" w:rsidR="00DF55FB" w:rsidRPr="00355068" w:rsidRDefault="00DF55FB" w:rsidP="00DF55FB">
                        <w:pPr>
                          <w:pStyle w:val="NormalWeb"/>
                          <w:kinsoku w:val="0"/>
                          <w:overflowPunct w:val="0"/>
                          <w:spacing w:before="0" w:beforeAutospacing="0" w:after="160" w:afterAutospacing="0" w:line="256" w:lineRule="auto"/>
                          <w:jc w:val="center"/>
                          <w:textAlignment w:val="baseline"/>
                        </w:pPr>
                        <w:r w:rsidRPr="00355068">
                          <w:rPr>
                            <w:rFonts w:ascii="Calibri" w:eastAsia="Calibri" w:hAnsi="Calibri"/>
                            <w:color w:val="000000" w:themeColor="text1"/>
                            <w:kern w:val="24"/>
                          </w:rPr>
                          <w:t>Seriousness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" o:spid="_x0000_s1028" type="#_x0000_t32" style="position:absolute;left:4572;top:10752;width:1325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" strokecolor="black [3200]" strokeweight="1pt">
                  <v:stroke endarrow="block"/>
                  <v:shadow on="t" color="black" opacity="22937f" origin=",.5" offset="0,.63889mm"/>
                </v:shape>
                <v:shape id="Straight Arrow Connector 5" o:spid="_x0000_s1029" type="#_x0000_t32" style="position:absolute;left:10837;top:3048;width:0;height:1422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" strokecolor="black [3200]" strokeweight="1pt">
                  <v:stroke endarrow="block"/>
                  <v:shadow on="t" color="black" opacity="22937f" origin=",.5" offset="0,.63889mm"/>
                </v:shape>
                <v:shape id="Text Box 2" o:spid="_x0000_s1030" type="#_x0000_t202" style="position:absolute;left:17822;top:9228;width:9511;height:50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A27699E" w14:textId="77777777" w:rsidR="00DF55FB" w:rsidRPr="00355068" w:rsidRDefault="00DF55FB" w:rsidP="00DF55FB">
                        <w:pPr>
                          <w:pStyle w:val="NormalWeb"/>
                          <w:kinsoku w:val="0"/>
                          <w:overflowPunct w:val="0"/>
                          <w:spacing w:before="0" w:beforeAutospacing="0" w:after="160" w:afterAutospacing="0" w:line="256" w:lineRule="auto"/>
                          <w:jc w:val="center"/>
                          <w:textAlignment w:val="baseline"/>
                        </w:pPr>
                        <w:r w:rsidRPr="00355068">
                          <w:rPr>
                            <w:rFonts w:ascii="Calibri" w:eastAsia="Calibri" w:hAnsi="Calibri"/>
                            <w:color w:val="000000" w:themeColor="text1"/>
                            <w:kern w:val="24"/>
                          </w:rPr>
                          <w:t xml:space="preserve">Uncertainty </w:t>
                        </w:r>
                      </w:p>
                    </w:txbxContent>
                  </v:textbox>
                </v:shape>
                <v:shape id="Text Box 2" o:spid="_x0000_s1031" type="#_x0000_t202" style="position:absolute;left:12784;top:4148;width:9447;height:5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<v:textbox>
                    <w:txbxContent>
                      <w:p w14:paraId="0BF550AC" w14:textId="77777777" w:rsidR="00DF55FB" w:rsidRPr="00355068" w:rsidRDefault="00DF55FB" w:rsidP="00DF55FB">
                        <w:pPr>
                          <w:pStyle w:val="NormalWeb"/>
                          <w:kinsoku w:val="0"/>
                          <w:overflowPunct w:val="0"/>
                          <w:spacing w:before="0" w:beforeAutospacing="0" w:after="160" w:afterAutospacing="0" w:line="256" w:lineRule="auto"/>
                          <w:jc w:val="center"/>
                          <w:textAlignment w:val="baseline"/>
                          <w:rPr>
                            <w:sz w:val="16"/>
                            <w:szCs w:val="16"/>
                          </w:rPr>
                        </w:pPr>
                        <w:r w:rsidRPr="00355068">
                          <w:rPr>
                            <w:rFonts w:ascii="Calibri" w:eastAsia="Calibri" w:hAnsi="Calibr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NYHA Grade IV Heart Failure</w:t>
                        </w:r>
                      </w:p>
                    </w:txbxContent>
                  </v:textbox>
                </v:shape>
                <v:shape id="Text Box 2" o:spid="_x0000_s1032" type="#_x0000_t202" style="position:absolute;top:4064;width:8847;height:5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14:paraId="5DED129D" w14:textId="77777777" w:rsidR="00DF55FB" w:rsidRPr="00355068" w:rsidRDefault="00DF55FB" w:rsidP="00DF55FB">
                        <w:pPr>
                          <w:pStyle w:val="NormalWeb"/>
                          <w:kinsoku w:val="0"/>
                          <w:overflowPunct w:val="0"/>
                          <w:spacing w:before="0" w:beforeAutospacing="0" w:after="160" w:afterAutospacing="0" w:line="256" w:lineRule="auto"/>
                          <w:jc w:val="center"/>
                          <w:textAlignment w:val="baseline"/>
                          <w:rPr>
                            <w:sz w:val="16"/>
                            <w:szCs w:val="16"/>
                          </w:rPr>
                        </w:pPr>
                        <w:r w:rsidRPr="00355068">
                          <w:rPr>
                            <w:rFonts w:ascii="Calibri" w:eastAsia="Calibri" w:hAnsi="Calibr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Metastatic Lung Cancer</w:t>
                        </w:r>
                      </w:p>
                      <w:p w14:paraId="6AF009D1" w14:textId="77777777" w:rsidR="00DF55FB" w:rsidRDefault="00DF55FB" w:rsidP="00DF55FB">
                        <w:pPr>
                          <w:pStyle w:val="NormalWeb"/>
                          <w:kinsoku w:val="0"/>
                          <w:overflowPunct w:val="0"/>
                          <w:spacing w:before="0" w:beforeAutospacing="0" w:after="160" w:afterAutospacing="0" w:line="256" w:lineRule="auto"/>
                          <w:textAlignment w:val="baseline"/>
                        </w:pPr>
                        <w:r>
                          <w:rPr>
                            <w:rFonts w:ascii="Calibri" w:eastAsia="Calibri"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shape>
                <v:shape id="Text Box 2" o:spid="_x0000_s1033" type="#_x0000_t202" style="position:absolute;top:14308;width:9482;height:3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71542BAA" w14:textId="77777777" w:rsidR="00DF55FB" w:rsidRPr="00355068" w:rsidRDefault="00DF55FB" w:rsidP="00DF55FB">
                        <w:pPr>
                          <w:pStyle w:val="NormalWeb"/>
                          <w:kinsoku w:val="0"/>
                          <w:overflowPunct w:val="0"/>
                          <w:spacing w:before="0" w:beforeAutospacing="0" w:after="160" w:afterAutospacing="0" w:line="256" w:lineRule="auto"/>
                          <w:jc w:val="center"/>
                          <w:textAlignment w:val="baseline"/>
                          <w:rPr>
                            <w:sz w:val="16"/>
                            <w:szCs w:val="16"/>
                          </w:rPr>
                        </w:pPr>
                        <w:r w:rsidRPr="00355068">
                          <w:rPr>
                            <w:rFonts w:ascii="Calibri" w:eastAsia="Calibri" w:hAnsi="Calibr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In-growing great toenail</w:t>
                        </w:r>
                      </w:p>
                    </w:txbxContent>
                  </v:textbox>
                </v:shape>
                <v:shape id="Text Box 2" o:spid="_x0000_s1034" type="#_x0000_t202" style="position:absolute;left:12784;top:14308;width:11140;height:38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<v:textbox>
                    <w:txbxContent>
                      <w:p w14:paraId="61750D02" w14:textId="77777777" w:rsidR="00DF55FB" w:rsidRPr="00355068" w:rsidRDefault="00DF55FB" w:rsidP="00DF55FB">
                        <w:pPr>
                          <w:pStyle w:val="NormalWeb"/>
                          <w:kinsoku w:val="0"/>
                          <w:overflowPunct w:val="0"/>
                          <w:spacing w:before="0" w:beforeAutospacing="0" w:after="160" w:afterAutospacing="0" w:line="256" w:lineRule="auto"/>
                          <w:jc w:val="center"/>
                          <w:textAlignment w:val="baseline"/>
                          <w:rPr>
                            <w:sz w:val="16"/>
                            <w:szCs w:val="16"/>
                          </w:rPr>
                        </w:pPr>
                        <w:r w:rsidRPr="00355068">
                          <w:rPr>
                            <w:rFonts w:ascii="Calibri" w:eastAsia="Calibri" w:hAnsi="Calibr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Non-specific erythematous rash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763CB">
        <w:rPr>
          <w:rFonts w:asciiTheme="majorHAnsi" w:hAnsiTheme="majorHAnsi"/>
        </w:rPr>
        <w:tab/>
      </w:r>
    </w:p>
    <w:p w14:paraId="5A05DD51" w14:textId="44A85254" w:rsidR="008763CB" w:rsidRDefault="008763CB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14:paraId="117ECDB8" w14:textId="0B347A66" w:rsidR="008763CB" w:rsidRPr="00086989" w:rsidRDefault="008763CB">
      <w:pPr>
        <w:rPr>
          <w:rFonts w:asciiTheme="majorHAnsi" w:hAnsiTheme="majorHAnsi"/>
        </w:rPr>
      </w:pPr>
    </w:p>
    <w:sectPr w:rsidR="008763CB" w:rsidRPr="00086989" w:rsidSect="000B051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989"/>
    <w:rsid w:val="00086989"/>
    <w:rsid w:val="000B0518"/>
    <w:rsid w:val="000E18D3"/>
    <w:rsid w:val="001409D6"/>
    <w:rsid w:val="001658CB"/>
    <w:rsid w:val="00226C1B"/>
    <w:rsid w:val="0027140C"/>
    <w:rsid w:val="002C6987"/>
    <w:rsid w:val="002E67D4"/>
    <w:rsid w:val="00470004"/>
    <w:rsid w:val="004C00BC"/>
    <w:rsid w:val="004E17D9"/>
    <w:rsid w:val="00557AE3"/>
    <w:rsid w:val="00587913"/>
    <w:rsid w:val="00604F2A"/>
    <w:rsid w:val="00607FD5"/>
    <w:rsid w:val="00650D06"/>
    <w:rsid w:val="00753513"/>
    <w:rsid w:val="007569A5"/>
    <w:rsid w:val="007F1649"/>
    <w:rsid w:val="008763CB"/>
    <w:rsid w:val="008E27DC"/>
    <w:rsid w:val="009603F7"/>
    <w:rsid w:val="00A778C9"/>
    <w:rsid w:val="00CF7808"/>
    <w:rsid w:val="00D3681A"/>
    <w:rsid w:val="00D50110"/>
    <w:rsid w:val="00DF55FB"/>
    <w:rsid w:val="00DF6EB2"/>
    <w:rsid w:val="00EF58E7"/>
    <w:rsid w:val="00F17153"/>
    <w:rsid w:val="00FC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37C104"/>
  <w14:defaultImageDpi w14:val="300"/>
  <w15:docId w15:val="{AD2357BF-4E8E-4457-882F-15A0943EF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55FB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Euan Paterson</dc:creator>
  <cp:keywords/>
  <dc:description/>
  <cp:lastModifiedBy>Euan Paterson</cp:lastModifiedBy>
  <cp:revision>4</cp:revision>
  <dcterms:created xsi:type="dcterms:W3CDTF">2017-10-30T13:27:00Z</dcterms:created>
  <dcterms:modified xsi:type="dcterms:W3CDTF">2017-10-30T15:39:00Z</dcterms:modified>
</cp:coreProperties>
</file>