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B2" w:rsidRDefault="007C5BF5">
      <w:r>
        <w:tab/>
      </w:r>
      <w:r>
        <w:tab/>
      </w:r>
      <w:r>
        <w:tab/>
      </w:r>
      <w:r>
        <w:tab/>
      </w:r>
      <w:r>
        <w:tab/>
      </w:r>
      <w:r>
        <w:tab/>
      </w:r>
      <w:r>
        <w:tab/>
      </w:r>
      <w:r>
        <w:tab/>
      </w:r>
      <w:r>
        <w:tab/>
      </w:r>
      <w:r>
        <w:tab/>
      </w:r>
      <w:r>
        <w:tab/>
      </w:r>
      <w:r>
        <w:tab/>
      </w:r>
      <w:r>
        <w:tab/>
      </w:r>
      <w:r>
        <w:tab/>
      </w:r>
      <w:r>
        <w:tab/>
      </w:r>
      <w:r>
        <w:tab/>
      </w:r>
      <w:r>
        <w:tab/>
      </w:r>
      <w:r>
        <w:tab/>
      </w:r>
      <w:r>
        <w:tab/>
      </w:r>
      <w:r>
        <w:tab/>
      </w:r>
      <w:r>
        <w:tab/>
      </w:r>
      <w:r w:rsidRPr="007C5BF5">
        <w:rPr>
          <w:noProof/>
          <w:lang w:eastAsia="en-GB"/>
        </w:rPr>
        <w:drawing>
          <wp:inline distT="0" distB="0" distL="0" distR="0">
            <wp:extent cx="1134819" cy="1029537"/>
            <wp:effectExtent l="19050" t="0" r="8181" b="0"/>
            <wp:docPr id="2" name="Picture 1"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HiRes"/>
                    <pic:cNvPicPr>
                      <a:picLocks noChangeAspect="1" noChangeArrowheads="1"/>
                    </pic:cNvPicPr>
                  </pic:nvPicPr>
                  <pic:blipFill>
                    <a:blip r:embed="rId6" cstate="print"/>
                    <a:srcRect/>
                    <a:stretch>
                      <a:fillRect/>
                    </a:stretch>
                  </pic:blipFill>
                  <pic:spPr bwMode="auto">
                    <a:xfrm>
                      <a:off x="0" y="0"/>
                      <a:ext cx="1137920" cy="1032350"/>
                    </a:xfrm>
                    <a:prstGeom prst="rect">
                      <a:avLst/>
                    </a:prstGeom>
                    <a:noFill/>
                    <a:ln w="9525">
                      <a:noFill/>
                      <a:miter lim="800000"/>
                      <a:headEnd/>
                      <a:tailEnd/>
                    </a:ln>
                  </pic:spPr>
                </pic:pic>
              </a:graphicData>
            </a:graphic>
          </wp:inline>
        </w:drawing>
      </w:r>
      <w:r>
        <w:tab/>
      </w:r>
    </w:p>
    <w:p w:rsidR="007C5BF5" w:rsidRDefault="007C5BF5"/>
    <w:tbl>
      <w:tblPr>
        <w:tblW w:w="0" w:type="auto"/>
        <w:tblLook w:val="01E0"/>
      </w:tblPr>
      <w:tblGrid>
        <w:gridCol w:w="1864"/>
        <w:gridCol w:w="7378"/>
      </w:tblGrid>
      <w:tr w:rsidR="007C5BF5" w:rsidRPr="00C46F60" w:rsidTr="00D132EA">
        <w:tc>
          <w:tcPr>
            <w:tcW w:w="1908" w:type="dxa"/>
          </w:tcPr>
          <w:p w:rsidR="007C5BF5" w:rsidRPr="00E30969" w:rsidRDefault="007C5BF5" w:rsidP="00D132EA">
            <w:pPr>
              <w:rPr>
                <w:rFonts w:ascii="Arial" w:hAnsi="Arial" w:cs="Arial"/>
                <w:b/>
                <w:color w:val="000000"/>
              </w:rPr>
            </w:pPr>
          </w:p>
          <w:p w:rsidR="007C5BF5" w:rsidRPr="00E30969" w:rsidRDefault="007C5BF5" w:rsidP="00D132EA">
            <w:pPr>
              <w:rPr>
                <w:rFonts w:ascii="Arial" w:hAnsi="Arial" w:cs="Arial"/>
                <w:b/>
                <w:color w:val="000000"/>
              </w:rPr>
            </w:pPr>
            <w:r w:rsidRPr="00E30969">
              <w:rPr>
                <w:rFonts w:ascii="Arial" w:hAnsi="Arial" w:cs="Arial"/>
                <w:b/>
                <w:color w:val="000000"/>
              </w:rPr>
              <w:t xml:space="preserve">Report To:  </w:t>
            </w:r>
          </w:p>
        </w:tc>
        <w:tc>
          <w:tcPr>
            <w:tcW w:w="7712" w:type="dxa"/>
          </w:tcPr>
          <w:p w:rsidR="007C5BF5" w:rsidRPr="00C46F60" w:rsidRDefault="007C5BF5" w:rsidP="00D132EA">
            <w:pPr>
              <w:rPr>
                <w:rFonts w:ascii="Arial" w:hAnsi="Arial" w:cs="Arial"/>
                <w:color w:val="000000"/>
              </w:rPr>
            </w:pPr>
          </w:p>
          <w:p w:rsidR="007C5BF5" w:rsidRPr="00C46F60" w:rsidRDefault="007C5BF5" w:rsidP="00D132EA">
            <w:pPr>
              <w:rPr>
                <w:rFonts w:ascii="Arial" w:hAnsi="Arial" w:cs="Arial"/>
                <w:color w:val="000000"/>
              </w:rPr>
            </w:pPr>
            <w:r>
              <w:rPr>
                <w:rFonts w:ascii="Arial" w:hAnsi="Arial" w:cs="Arial"/>
                <w:color w:val="000000"/>
              </w:rPr>
              <w:t>NHSGGC Bereavement Steering Group</w:t>
            </w:r>
          </w:p>
        </w:tc>
      </w:tr>
      <w:tr w:rsidR="007C5BF5" w:rsidRPr="00C46F60" w:rsidTr="00D132EA">
        <w:tc>
          <w:tcPr>
            <w:tcW w:w="1908" w:type="dxa"/>
          </w:tcPr>
          <w:p w:rsidR="007C5BF5" w:rsidRPr="00E30969" w:rsidRDefault="007C5BF5" w:rsidP="00D132EA">
            <w:pPr>
              <w:rPr>
                <w:rFonts w:ascii="Arial" w:hAnsi="Arial" w:cs="Arial"/>
                <w:b/>
                <w:color w:val="000000"/>
              </w:rPr>
            </w:pPr>
          </w:p>
          <w:p w:rsidR="007C5BF5" w:rsidRPr="00E30969" w:rsidRDefault="007C5BF5" w:rsidP="00D132EA">
            <w:pPr>
              <w:rPr>
                <w:rFonts w:ascii="Arial" w:hAnsi="Arial" w:cs="Arial"/>
                <w:b/>
                <w:color w:val="000000"/>
              </w:rPr>
            </w:pPr>
            <w:r w:rsidRPr="00E30969">
              <w:rPr>
                <w:rFonts w:ascii="Arial" w:hAnsi="Arial" w:cs="Arial"/>
                <w:b/>
                <w:color w:val="000000"/>
              </w:rPr>
              <w:t>Report By:</w:t>
            </w:r>
          </w:p>
        </w:tc>
        <w:tc>
          <w:tcPr>
            <w:tcW w:w="7712" w:type="dxa"/>
          </w:tcPr>
          <w:p w:rsidR="007C5BF5" w:rsidRPr="00C46F60" w:rsidRDefault="007C5BF5" w:rsidP="00D132EA">
            <w:pPr>
              <w:rPr>
                <w:rFonts w:ascii="Arial" w:hAnsi="Arial" w:cs="Arial"/>
                <w:color w:val="000000"/>
              </w:rPr>
            </w:pPr>
          </w:p>
          <w:p w:rsidR="007C5BF5" w:rsidRPr="00C46F60" w:rsidRDefault="007C5BF5" w:rsidP="00D132EA">
            <w:pPr>
              <w:rPr>
                <w:rFonts w:ascii="Arial" w:hAnsi="Arial" w:cs="Arial"/>
                <w:color w:val="000000"/>
              </w:rPr>
            </w:pPr>
            <w:r>
              <w:rPr>
                <w:rFonts w:ascii="Arial" w:hAnsi="Arial" w:cs="Arial"/>
                <w:color w:val="000000"/>
              </w:rPr>
              <w:t>Michelle Magennis</w:t>
            </w:r>
          </w:p>
        </w:tc>
      </w:tr>
      <w:tr w:rsidR="007C5BF5" w:rsidRPr="00C46F60" w:rsidTr="00D132EA">
        <w:tc>
          <w:tcPr>
            <w:tcW w:w="1908" w:type="dxa"/>
          </w:tcPr>
          <w:p w:rsidR="007C5BF5" w:rsidRPr="00E30969" w:rsidRDefault="007C5BF5" w:rsidP="00D132EA">
            <w:pPr>
              <w:rPr>
                <w:rFonts w:ascii="Arial" w:hAnsi="Arial" w:cs="Arial"/>
                <w:b/>
                <w:color w:val="000000"/>
              </w:rPr>
            </w:pPr>
          </w:p>
          <w:p w:rsidR="007C5BF5" w:rsidRPr="00E30969" w:rsidRDefault="007C5BF5" w:rsidP="00D132EA">
            <w:pPr>
              <w:rPr>
                <w:rFonts w:ascii="Arial" w:hAnsi="Arial" w:cs="Arial"/>
                <w:b/>
                <w:color w:val="000000"/>
              </w:rPr>
            </w:pPr>
            <w:r w:rsidRPr="00E30969">
              <w:rPr>
                <w:rFonts w:ascii="Arial" w:hAnsi="Arial" w:cs="Arial"/>
                <w:b/>
                <w:color w:val="000000"/>
              </w:rPr>
              <w:t>Date:</w:t>
            </w:r>
          </w:p>
        </w:tc>
        <w:tc>
          <w:tcPr>
            <w:tcW w:w="7712" w:type="dxa"/>
          </w:tcPr>
          <w:p w:rsidR="007C5BF5" w:rsidRPr="00C46F60" w:rsidRDefault="007C5BF5" w:rsidP="00D132EA">
            <w:pPr>
              <w:rPr>
                <w:rFonts w:ascii="Arial" w:hAnsi="Arial" w:cs="Arial"/>
                <w:color w:val="000000"/>
              </w:rPr>
            </w:pPr>
          </w:p>
          <w:p w:rsidR="007C5BF5" w:rsidRPr="00C46F60" w:rsidRDefault="00256C4F" w:rsidP="00D132EA">
            <w:pPr>
              <w:rPr>
                <w:rFonts w:ascii="Arial" w:hAnsi="Arial" w:cs="Arial"/>
                <w:color w:val="000000"/>
              </w:rPr>
            </w:pPr>
            <w:r>
              <w:rPr>
                <w:rFonts w:ascii="Arial" w:hAnsi="Arial" w:cs="Arial"/>
                <w:color w:val="000000"/>
              </w:rPr>
              <w:t>December 2016</w:t>
            </w:r>
          </w:p>
        </w:tc>
      </w:tr>
      <w:tr w:rsidR="007C5BF5" w:rsidRPr="00C46F60" w:rsidTr="00D132EA">
        <w:tc>
          <w:tcPr>
            <w:tcW w:w="1908" w:type="dxa"/>
          </w:tcPr>
          <w:p w:rsidR="007C5BF5" w:rsidRPr="00E30969" w:rsidRDefault="007C5BF5" w:rsidP="00D132EA">
            <w:pPr>
              <w:rPr>
                <w:rFonts w:ascii="Arial" w:hAnsi="Arial" w:cs="Arial"/>
                <w:b/>
                <w:color w:val="000000"/>
              </w:rPr>
            </w:pPr>
          </w:p>
          <w:p w:rsidR="007C5BF5" w:rsidRPr="00E30969" w:rsidRDefault="007C5BF5" w:rsidP="00D132EA">
            <w:pPr>
              <w:rPr>
                <w:rFonts w:ascii="Arial" w:hAnsi="Arial" w:cs="Arial"/>
                <w:b/>
                <w:color w:val="000000"/>
              </w:rPr>
            </w:pPr>
            <w:r w:rsidRPr="00E30969">
              <w:rPr>
                <w:rFonts w:ascii="Arial" w:hAnsi="Arial" w:cs="Arial"/>
                <w:b/>
                <w:color w:val="000000"/>
              </w:rPr>
              <w:t xml:space="preserve">Subject: </w:t>
            </w:r>
          </w:p>
          <w:p w:rsidR="007C5BF5" w:rsidRPr="00E30969" w:rsidRDefault="007C5BF5" w:rsidP="00D132EA">
            <w:pPr>
              <w:rPr>
                <w:rFonts w:ascii="Arial" w:hAnsi="Arial" w:cs="Arial"/>
                <w:b/>
                <w:color w:val="000000"/>
              </w:rPr>
            </w:pPr>
          </w:p>
        </w:tc>
        <w:tc>
          <w:tcPr>
            <w:tcW w:w="7712" w:type="dxa"/>
          </w:tcPr>
          <w:p w:rsidR="007C5BF5" w:rsidRDefault="007C5BF5" w:rsidP="00D132EA">
            <w:pPr>
              <w:rPr>
                <w:rFonts w:ascii="Arial" w:hAnsi="Arial" w:cs="Arial"/>
                <w:color w:val="000000"/>
              </w:rPr>
            </w:pPr>
            <w:r w:rsidRPr="00C46F60">
              <w:rPr>
                <w:rFonts w:ascii="Arial" w:hAnsi="Arial" w:cs="Arial"/>
                <w:color w:val="000000"/>
              </w:rPr>
              <w:t xml:space="preserve"> </w:t>
            </w:r>
          </w:p>
          <w:p w:rsidR="007C5BF5" w:rsidRDefault="005B310E" w:rsidP="00D132EA">
            <w:pPr>
              <w:rPr>
                <w:rFonts w:ascii="Arial" w:hAnsi="Arial" w:cs="Arial"/>
                <w:color w:val="000000"/>
              </w:rPr>
            </w:pPr>
            <w:r>
              <w:rPr>
                <w:rFonts w:ascii="Arial" w:hAnsi="Arial" w:cs="Arial"/>
                <w:color w:val="000000"/>
              </w:rPr>
              <w:t>Bereavement Training</w:t>
            </w:r>
            <w:r w:rsidR="007C5BF5">
              <w:rPr>
                <w:rFonts w:ascii="Arial" w:hAnsi="Arial" w:cs="Arial"/>
                <w:color w:val="000000"/>
              </w:rPr>
              <w:t xml:space="preserve"> Update</w:t>
            </w:r>
          </w:p>
          <w:p w:rsidR="007C5BF5" w:rsidRDefault="007C5BF5" w:rsidP="00D132EA">
            <w:pPr>
              <w:rPr>
                <w:rFonts w:ascii="Arial" w:hAnsi="Arial" w:cs="Arial"/>
                <w:color w:val="000000"/>
              </w:rPr>
            </w:pPr>
          </w:p>
          <w:p w:rsidR="007C5BF5" w:rsidRPr="00C46F60" w:rsidRDefault="007C5BF5" w:rsidP="00D132EA">
            <w:pPr>
              <w:rPr>
                <w:rFonts w:ascii="Arial" w:hAnsi="Arial" w:cs="Arial"/>
                <w:color w:val="000000"/>
              </w:rPr>
            </w:pPr>
          </w:p>
        </w:tc>
      </w:tr>
    </w:tbl>
    <w:p w:rsidR="007C5BF5" w:rsidRDefault="007C5BF5"/>
    <w:p w:rsidR="007C5BF5" w:rsidRDefault="007C5BF5" w:rsidP="007C5BF5"/>
    <w:p w:rsidR="007C5BF5" w:rsidRPr="00ED2729" w:rsidRDefault="007C5BF5" w:rsidP="007C5BF5">
      <w:pPr>
        <w:rPr>
          <w:rFonts w:ascii="Arial" w:hAnsi="Arial" w:cs="Arial"/>
          <w:b/>
          <w:color w:val="000000"/>
        </w:rPr>
      </w:pPr>
      <w:r w:rsidRPr="00ED2729">
        <w:rPr>
          <w:rFonts w:ascii="Arial" w:hAnsi="Arial" w:cs="Arial"/>
          <w:b/>
          <w:color w:val="000000"/>
        </w:rPr>
        <w:t>1.</w:t>
      </w:r>
      <w:r>
        <w:rPr>
          <w:rFonts w:ascii="Arial" w:hAnsi="Arial" w:cs="Arial"/>
          <w:b/>
          <w:color w:val="000000"/>
        </w:rPr>
        <w:tab/>
      </w:r>
      <w:r w:rsidRPr="00ED2729">
        <w:rPr>
          <w:rFonts w:ascii="Arial" w:hAnsi="Arial" w:cs="Arial"/>
          <w:b/>
          <w:color w:val="000000"/>
        </w:rPr>
        <w:t>Purpose</w:t>
      </w:r>
    </w:p>
    <w:p w:rsidR="007C5BF5" w:rsidRPr="00ED2729" w:rsidRDefault="007C5BF5" w:rsidP="007C5BF5"/>
    <w:p w:rsidR="00A50FFE" w:rsidRDefault="00A50FFE" w:rsidP="005E73CD">
      <w:pPr>
        <w:pStyle w:val="ListParagraph"/>
        <w:numPr>
          <w:ilvl w:val="1"/>
          <w:numId w:val="1"/>
        </w:numPr>
        <w:spacing w:after="0"/>
        <w:jc w:val="both"/>
        <w:rPr>
          <w:rFonts w:ascii="Arial" w:hAnsi="Arial" w:cs="Arial"/>
          <w:color w:val="000000"/>
        </w:rPr>
      </w:pPr>
      <w:r>
        <w:rPr>
          <w:rFonts w:ascii="Arial" w:hAnsi="Arial" w:cs="Arial"/>
          <w:color w:val="000000"/>
        </w:rPr>
        <w:t>T</w:t>
      </w:r>
      <w:r w:rsidR="007C5BF5">
        <w:rPr>
          <w:rFonts w:ascii="Arial" w:hAnsi="Arial" w:cs="Arial"/>
          <w:color w:val="000000"/>
        </w:rPr>
        <w:t>his</w:t>
      </w:r>
      <w:r>
        <w:rPr>
          <w:rFonts w:ascii="Arial" w:hAnsi="Arial" w:cs="Arial"/>
          <w:color w:val="000000"/>
        </w:rPr>
        <w:t xml:space="preserve"> report </w:t>
      </w:r>
      <w:r w:rsidR="007C5BF5" w:rsidRPr="00ED2729">
        <w:rPr>
          <w:rFonts w:ascii="Arial" w:hAnsi="Arial" w:cs="Arial"/>
          <w:color w:val="000000"/>
        </w:rPr>
        <w:t>provide</w:t>
      </w:r>
      <w:r>
        <w:rPr>
          <w:rFonts w:ascii="Arial" w:hAnsi="Arial" w:cs="Arial"/>
          <w:color w:val="000000"/>
        </w:rPr>
        <w:t>s</w:t>
      </w:r>
      <w:r w:rsidR="00047754">
        <w:rPr>
          <w:rFonts w:ascii="Arial" w:hAnsi="Arial" w:cs="Arial"/>
          <w:color w:val="000000"/>
        </w:rPr>
        <w:t xml:space="preserve"> information</w:t>
      </w:r>
      <w:r w:rsidR="007C5BF5" w:rsidRPr="00ED2729">
        <w:rPr>
          <w:rFonts w:ascii="Arial" w:hAnsi="Arial" w:cs="Arial"/>
          <w:color w:val="000000"/>
        </w:rPr>
        <w:t xml:space="preserve"> for members</w:t>
      </w:r>
      <w:r w:rsidR="007C5BF5">
        <w:rPr>
          <w:rFonts w:ascii="Arial" w:hAnsi="Arial" w:cs="Arial"/>
          <w:color w:val="000000"/>
        </w:rPr>
        <w:t xml:space="preserve"> of the </w:t>
      </w:r>
      <w:r w:rsidR="00D132EA">
        <w:rPr>
          <w:rFonts w:ascii="Arial" w:hAnsi="Arial" w:cs="Arial"/>
          <w:color w:val="000000"/>
        </w:rPr>
        <w:t>Bereavement</w:t>
      </w:r>
      <w:r>
        <w:rPr>
          <w:rFonts w:ascii="Arial" w:hAnsi="Arial" w:cs="Arial"/>
          <w:color w:val="000000"/>
        </w:rPr>
        <w:t xml:space="preserve"> </w:t>
      </w:r>
      <w:r w:rsidR="00D132EA" w:rsidRPr="00A50FFE">
        <w:rPr>
          <w:rFonts w:ascii="Arial" w:hAnsi="Arial" w:cs="Arial"/>
          <w:color w:val="000000"/>
        </w:rPr>
        <w:t>Steering Group on the</w:t>
      </w:r>
    </w:p>
    <w:p w:rsidR="007C5BF5" w:rsidRPr="00A50FFE" w:rsidRDefault="00D132EA" w:rsidP="00A50FFE">
      <w:pPr>
        <w:spacing w:line="276" w:lineRule="auto"/>
        <w:rPr>
          <w:rFonts w:ascii="Arial" w:hAnsi="Arial" w:cs="Arial"/>
          <w:color w:val="000000"/>
        </w:rPr>
      </w:pPr>
      <w:proofErr w:type="gramStart"/>
      <w:r w:rsidRPr="00A50FFE">
        <w:rPr>
          <w:rFonts w:ascii="Arial" w:hAnsi="Arial" w:cs="Arial"/>
          <w:color w:val="000000"/>
        </w:rPr>
        <w:t>outcomes</w:t>
      </w:r>
      <w:proofErr w:type="gramEnd"/>
      <w:r w:rsidRPr="00A50FFE">
        <w:rPr>
          <w:rFonts w:ascii="Arial" w:hAnsi="Arial" w:cs="Arial"/>
          <w:color w:val="000000"/>
        </w:rPr>
        <w:t xml:space="preserve"> from the recent scoping exercise </w:t>
      </w:r>
      <w:r w:rsidR="005B310E">
        <w:rPr>
          <w:rFonts w:ascii="Arial" w:hAnsi="Arial" w:cs="Arial"/>
          <w:color w:val="000000"/>
        </w:rPr>
        <w:t>to identify training</w:t>
      </w:r>
      <w:r w:rsidR="00047754" w:rsidRPr="00A50FFE">
        <w:rPr>
          <w:rFonts w:ascii="Arial" w:hAnsi="Arial" w:cs="Arial"/>
          <w:color w:val="000000"/>
        </w:rPr>
        <w:t xml:space="preserve"> provided </w:t>
      </w:r>
      <w:r w:rsidR="005E73CD">
        <w:rPr>
          <w:rFonts w:ascii="Arial" w:hAnsi="Arial" w:cs="Arial"/>
          <w:color w:val="000000"/>
        </w:rPr>
        <w:t xml:space="preserve">across NHSGGC </w:t>
      </w:r>
      <w:r w:rsidR="00047754" w:rsidRPr="00A50FFE">
        <w:rPr>
          <w:rFonts w:ascii="Arial" w:hAnsi="Arial" w:cs="Arial"/>
          <w:color w:val="000000"/>
        </w:rPr>
        <w:t xml:space="preserve">to </w:t>
      </w:r>
      <w:r w:rsidR="005B310E">
        <w:rPr>
          <w:rFonts w:ascii="Arial" w:hAnsi="Arial" w:cs="Arial"/>
          <w:color w:val="000000"/>
        </w:rPr>
        <w:t xml:space="preserve">staff, </w:t>
      </w:r>
      <w:r w:rsidR="00047754" w:rsidRPr="00A50FFE">
        <w:rPr>
          <w:rFonts w:ascii="Arial" w:hAnsi="Arial" w:cs="Arial"/>
          <w:color w:val="000000"/>
        </w:rPr>
        <w:t xml:space="preserve">the bereaved and their families.  </w:t>
      </w:r>
    </w:p>
    <w:p w:rsidR="00D132EA" w:rsidRDefault="00D132EA" w:rsidP="00D132EA">
      <w:pPr>
        <w:rPr>
          <w:rFonts w:ascii="Arial" w:hAnsi="Arial" w:cs="Arial"/>
          <w:color w:val="000000"/>
        </w:rPr>
      </w:pPr>
    </w:p>
    <w:p w:rsidR="00D132EA" w:rsidRPr="00D132EA" w:rsidRDefault="00D132EA" w:rsidP="00D132EA">
      <w:pPr>
        <w:rPr>
          <w:rFonts w:ascii="Arial" w:hAnsi="Arial" w:cs="Arial"/>
          <w:b/>
          <w:color w:val="000000"/>
        </w:rPr>
      </w:pPr>
      <w:r>
        <w:rPr>
          <w:rFonts w:ascii="Arial" w:hAnsi="Arial" w:cs="Arial"/>
          <w:b/>
          <w:color w:val="000000"/>
        </w:rPr>
        <w:t>2.        Background</w:t>
      </w:r>
    </w:p>
    <w:p w:rsidR="00D132EA" w:rsidRPr="00D132EA" w:rsidRDefault="00D132EA" w:rsidP="00D132EA">
      <w:pPr>
        <w:rPr>
          <w:rFonts w:ascii="Arial" w:hAnsi="Arial" w:cs="Arial"/>
          <w:b/>
          <w:color w:val="000000"/>
        </w:rPr>
      </w:pPr>
    </w:p>
    <w:p w:rsidR="00D132EA" w:rsidRDefault="00D132EA" w:rsidP="00A50FFE">
      <w:pPr>
        <w:spacing w:line="276" w:lineRule="auto"/>
        <w:rPr>
          <w:rFonts w:ascii="Arial" w:hAnsi="Arial" w:cs="Arial"/>
          <w:color w:val="000000"/>
        </w:rPr>
      </w:pPr>
      <w:r w:rsidRPr="00D132EA">
        <w:rPr>
          <w:rFonts w:ascii="Arial" w:hAnsi="Arial" w:cs="Arial"/>
          <w:b/>
          <w:color w:val="000000"/>
        </w:rPr>
        <w:t xml:space="preserve">2.1 </w:t>
      </w:r>
      <w:r w:rsidRPr="00A50FFE">
        <w:rPr>
          <w:rFonts w:ascii="Arial" w:hAnsi="Arial" w:cs="Arial"/>
          <w:color w:val="000000"/>
        </w:rPr>
        <w:t>In July 2016, a</w:t>
      </w:r>
      <w:r>
        <w:rPr>
          <w:rFonts w:ascii="Arial" w:hAnsi="Arial" w:cs="Arial"/>
          <w:color w:val="000000"/>
        </w:rPr>
        <w:t xml:space="preserve"> decision was </w:t>
      </w:r>
      <w:r w:rsidR="00A50FFE">
        <w:rPr>
          <w:rFonts w:ascii="Arial" w:hAnsi="Arial" w:cs="Arial"/>
          <w:color w:val="000000"/>
        </w:rPr>
        <w:t xml:space="preserve">made by the Board Nurse Director to conduct a review of the current </w:t>
      </w:r>
      <w:r w:rsidRPr="00D132EA">
        <w:rPr>
          <w:rFonts w:ascii="Arial" w:hAnsi="Arial" w:cs="Arial"/>
          <w:color w:val="000000"/>
        </w:rPr>
        <w:t>bereavement strategy for NHSGGC</w:t>
      </w:r>
      <w:r w:rsidR="00A50FFE">
        <w:rPr>
          <w:rFonts w:ascii="Arial" w:hAnsi="Arial" w:cs="Arial"/>
          <w:color w:val="000000"/>
        </w:rPr>
        <w:t>.  As part of</w:t>
      </w:r>
      <w:r w:rsidR="005B310E">
        <w:rPr>
          <w:rFonts w:ascii="Arial" w:hAnsi="Arial" w:cs="Arial"/>
          <w:color w:val="000000"/>
        </w:rPr>
        <w:t xml:space="preserve"> this process,</w:t>
      </w:r>
      <w:r w:rsidR="0047382F">
        <w:rPr>
          <w:rFonts w:ascii="Arial" w:hAnsi="Arial" w:cs="Arial"/>
          <w:color w:val="000000"/>
        </w:rPr>
        <w:t xml:space="preserve"> </w:t>
      </w:r>
      <w:r w:rsidR="005B310E">
        <w:rPr>
          <w:rFonts w:ascii="Arial" w:hAnsi="Arial" w:cs="Arial"/>
          <w:color w:val="000000"/>
        </w:rPr>
        <w:t>in December 2016</w:t>
      </w:r>
      <w:r w:rsidR="00BB3040">
        <w:rPr>
          <w:rFonts w:ascii="Arial" w:hAnsi="Arial" w:cs="Arial"/>
          <w:color w:val="000000"/>
        </w:rPr>
        <w:t>,</w:t>
      </w:r>
      <w:r w:rsidR="005B310E">
        <w:rPr>
          <w:rFonts w:ascii="Arial" w:hAnsi="Arial" w:cs="Arial"/>
          <w:color w:val="000000"/>
        </w:rPr>
        <w:t xml:space="preserve"> </w:t>
      </w:r>
      <w:r w:rsidR="0047382F">
        <w:rPr>
          <w:rFonts w:ascii="Arial" w:hAnsi="Arial" w:cs="Arial"/>
          <w:color w:val="000000"/>
        </w:rPr>
        <w:t>service l</w:t>
      </w:r>
      <w:r w:rsidRPr="00D132EA">
        <w:rPr>
          <w:rFonts w:ascii="Arial" w:hAnsi="Arial" w:cs="Arial"/>
          <w:color w:val="000000"/>
        </w:rPr>
        <w:t xml:space="preserve">eads were </w:t>
      </w:r>
      <w:r w:rsidR="00047754">
        <w:rPr>
          <w:rFonts w:ascii="Arial" w:hAnsi="Arial" w:cs="Arial"/>
          <w:color w:val="000000"/>
        </w:rPr>
        <w:t>provided w</w:t>
      </w:r>
      <w:r w:rsidR="005E73CD">
        <w:rPr>
          <w:rFonts w:ascii="Arial" w:hAnsi="Arial" w:cs="Arial"/>
          <w:color w:val="000000"/>
        </w:rPr>
        <w:t xml:space="preserve">ith a </w:t>
      </w:r>
      <w:proofErr w:type="spellStart"/>
      <w:r w:rsidR="005E73CD">
        <w:rPr>
          <w:rFonts w:ascii="Arial" w:hAnsi="Arial" w:cs="Arial"/>
          <w:color w:val="000000"/>
        </w:rPr>
        <w:t>proforma</w:t>
      </w:r>
      <w:proofErr w:type="spellEnd"/>
      <w:r w:rsidR="005E73CD">
        <w:rPr>
          <w:rFonts w:ascii="Arial" w:hAnsi="Arial" w:cs="Arial"/>
          <w:color w:val="000000"/>
        </w:rPr>
        <w:t xml:space="preserve"> to complete with</w:t>
      </w:r>
      <w:r w:rsidR="00A50FFE">
        <w:rPr>
          <w:rFonts w:ascii="Arial" w:hAnsi="Arial" w:cs="Arial"/>
          <w:color w:val="000000"/>
        </w:rPr>
        <w:t xml:space="preserve"> </w:t>
      </w:r>
      <w:r w:rsidR="005B310E">
        <w:rPr>
          <w:rFonts w:ascii="Arial" w:hAnsi="Arial" w:cs="Arial"/>
          <w:color w:val="000000"/>
        </w:rPr>
        <w:t>details of the range of training</w:t>
      </w:r>
      <w:r w:rsidR="00A50FFE">
        <w:rPr>
          <w:rFonts w:ascii="Arial" w:hAnsi="Arial" w:cs="Arial"/>
          <w:color w:val="000000"/>
        </w:rPr>
        <w:t xml:space="preserve"> and resources provided </w:t>
      </w:r>
      <w:r w:rsidR="00256C4F">
        <w:rPr>
          <w:rFonts w:ascii="Arial" w:hAnsi="Arial" w:cs="Arial"/>
          <w:color w:val="000000"/>
        </w:rPr>
        <w:t xml:space="preserve">to the </w:t>
      </w:r>
      <w:r w:rsidR="005B310E">
        <w:rPr>
          <w:rFonts w:ascii="Arial" w:hAnsi="Arial" w:cs="Arial"/>
          <w:color w:val="000000"/>
        </w:rPr>
        <w:t xml:space="preserve">staff teams </w:t>
      </w:r>
      <w:r w:rsidR="00A50FFE">
        <w:rPr>
          <w:rFonts w:ascii="Arial" w:hAnsi="Arial" w:cs="Arial"/>
          <w:color w:val="000000"/>
        </w:rPr>
        <w:t xml:space="preserve">in their individual settings.  Responses were collated and are </w:t>
      </w:r>
      <w:r w:rsidR="001C43BF">
        <w:rPr>
          <w:rFonts w:ascii="Arial" w:hAnsi="Arial" w:cs="Arial"/>
          <w:color w:val="000000"/>
        </w:rPr>
        <w:t>provided in the document attached</w:t>
      </w:r>
      <w:r w:rsidR="005E73CD">
        <w:rPr>
          <w:rFonts w:ascii="Arial" w:hAnsi="Arial" w:cs="Arial"/>
          <w:color w:val="000000"/>
        </w:rPr>
        <w:t xml:space="preserve"> below.</w:t>
      </w:r>
    </w:p>
    <w:p w:rsidR="005E73CD" w:rsidRPr="005E73CD" w:rsidRDefault="005E73CD" w:rsidP="00A50FFE">
      <w:pPr>
        <w:spacing w:line="276" w:lineRule="auto"/>
        <w:rPr>
          <w:rFonts w:ascii="Arial" w:hAnsi="Arial" w:cs="Arial"/>
          <w:b/>
          <w:color w:val="000000"/>
        </w:rPr>
      </w:pPr>
    </w:p>
    <w:p w:rsidR="005E73CD" w:rsidRDefault="005E73CD" w:rsidP="00A50FFE">
      <w:pPr>
        <w:spacing w:line="276" w:lineRule="auto"/>
        <w:rPr>
          <w:rFonts w:ascii="Arial" w:hAnsi="Arial" w:cs="Arial"/>
          <w:color w:val="000000"/>
        </w:rPr>
      </w:pPr>
      <w:r w:rsidRPr="005E73CD">
        <w:rPr>
          <w:rFonts w:ascii="Arial" w:hAnsi="Arial" w:cs="Arial"/>
          <w:b/>
          <w:color w:val="000000"/>
        </w:rPr>
        <w:t>3.       Recommendation</w:t>
      </w:r>
    </w:p>
    <w:p w:rsidR="005E73CD" w:rsidRDefault="005E73CD" w:rsidP="00A50FFE">
      <w:pPr>
        <w:spacing w:line="276" w:lineRule="auto"/>
        <w:rPr>
          <w:rFonts w:ascii="Arial" w:hAnsi="Arial" w:cs="Arial"/>
          <w:color w:val="000000"/>
        </w:rPr>
      </w:pPr>
    </w:p>
    <w:p w:rsidR="005E73CD" w:rsidRDefault="005E73CD" w:rsidP="00A50FFE">
      <w:pPr>
        <w:spacing w:line="276" w:lineRule="auto"/>
        <w:rPr>
          <w:rFonts w:ascii="Arial" w:hAnsi="Arial" w:cs="Arial"/>
          <w:color w:val="000000"/>
        </w:rPr>
      </w:pPr>
      <w:r w:rsidRPr="005E73CD">
        <w:rPr>
          <w:rFonts w:ascii="Arial" w:hAnsi="Arial" w:cs="Arial"/>
          <w:b/>
          <w:color w:val="000000"/>
        </w:rPr>
        <w:t>3.1</w:t>
      </w:r>
      <w:r>
        <w:rPr>
          <w:rFonts w:ascii="Arial" w:hAnsi="Arial" w:cs="Arial"/>
          <w:color w:val="000000"/>
        </w:rPr>
        <w:t xml:space="preserve"> Members of the NHSGGC Bereavement Steering Group are asked to review the contents of this report.</w:t>
      </w:r>
    </w:p>
    <w:p w:rsidR="005E73CD" w:rsidRDefault="005E73CD" w:rsidP="00A50FFE">
      <w:pPr>
        <w:spacing w:line="276" w:lineRule="auto"/>
        <w:rPr>
          <w:rFonts w:ascii="Arial" w:hAnsi="Arial" w:cs="Arial"/>
          <w:color w:val="000000"/>
        </w:rPr>
        <w:sectPr w:rsidR="005E73CD" w:rsidSect="001E62B2">
          <w:pgSz w:w="11906" w:h="16838"/>
          <w:pgMar w:top="1440" w:right="1440" w:bottom="1440" w:left="1440" w:header="708" w:footer="708" w:gutter="0"/>
          <w:cols w:space="708"/>
          <w:docGrid w:linePitch="360"/>
        </w:sectPr>
      </w:pPr>
    </w:p>
    <w:p w:rsidR="001C43BF" w:rsidRPr="00D704BE" w:rsidRDefault="005B310E">
      <w:pPr>
        <w:rPr>
          <w:b/>
          <w:color w:val="365F91" w:themeColor="accent1" w:themeShade="BF"/>
          <w:sz w:val="24"/>
          <w:szCs w:val="24"/>
        </w:rPr>
      </w:pPr>
      <w:r>
        <w:rPr>
          <w:b/>
          <w:color w:val="365F91" w:themeColor="accent1" w:themeShade="BF"/>
          <w:sz w:val="24"/>
          <w:szCs w:val="24"/>
        </w:rPr>
        <w:lastRenderedPageBreak/>
        <w:t>Bereavement Training</w:t>
      </w:r>
      <w:r w:rsidR="001C43BF" w:rsidRPr="00D704BE">
        <w:rPr>
          <w:b/>
          <w:color w:val="365F91" w:themeColor="accent1" w:themeShade="BF"/>
          <w:sz w:val="24"/>
          <w:szCs w:val="24"/>
        </w:rPr>
        <w:t xml:space="preserve"> across NHS Greater Glasgow and Clyde</w:t>
      </w:r>
      <w:r w:rsidR="001C43BF" w:rsidRPr="00D704BE">
        <w:rPr>
          <w:b/>
          <w:color w:val="365F91" w:themeColor="accent1" w:themeShade="BF"/>
          <w:sz w:val="24"/>
          <w:szCs w:val="24"/>
        </w:rPr>
        <w:tab/>
      </w:r>
      <w:r w:rsidR="001C43BF" w:rsidRPr="00D704BE">
        <w:rPr>
          <w:b/>
          <w:color w:val="365F91" w:themeColor="accent1" w:themeShade="BF"/>
          <w:sz w:val="24"/>
          <w:szCs w:val="24"/>
        </w:rPr>
        <w:tab/>
      </w:r>
      <w:r w:rsidR="001C43BF" w:rsidRPr="00D704BE">
        <w:rPr>
          <w:b/>
          <w:color w:val="365F91" w:themeColor="accent1" w:themeShade="BF"/>
          <w:sz w:val="24"/>
          <w:szCs w:val="24"/>
        </w:rPr>
        <w:tab/>
      </w:r>
      <w:r w:rsidR="001C43BF" w:rsidRPr="00D704BE">
        <w:rPr>
          <w:b/>
          <w:color w:val="365F91" w:themeColor="accent1" w:themeShade="BF"/>
          <w:sz w:val="24"/>
          <w:szCs w:val="24"/>
        </w:rPr>
        <w:tab/>
      </w:r>
      <w:r w:rsidR="001C43BF" w:rsidRPr="00D704BE">
        <w:rPr>
          <w:b/>
          <w:color w:val="365F91" w:themeColor="accent1" w:themeShade="BF"/>
          <w:sz w:val="24"/>
          <w:szCs w:val="24"/>
        </w:rPr>
        <w:tab/>
      </w:r>
      <w:r w:rsidR="001C43BF" w:rsidRPr="00D704BE">
        <w:rPr>
          <w:b/>
          <w:color w:val="365F91" w:themeColor="accent1" w:themeShade="BF"/>
          <w:sz w:val="24"/>
          <w:szCs w:val="24"/>
        </w:rPr>
        <w:tab/>
        <w:t xml:space="preserve">  </w:t>
      </w:r>
      <w:r w:rsidR="004B615E">
        <w:rPr>
          <w:b/>
          <w:color w:val="365F91" w:themeColor="accent1" w:themeShade="BF"/>
          <w:sz w:val="24"/>
          <w:szCs w:val="24"/>
        </w:rPr>
        <w:t xml:space="preserve">                      </w:t>
      </w:r>
      <w:r w:rsidR="001C43BF" w:rsidRPr="00D704BE">
        <w:rPr>
          <w:b/>
          <w:color w:val="365F91" w:themeColor="accent1" w:themeShade="BF"/>
          <w:sz w:val="24"/>
          <w:szCs w:val="24"/>
        </w:rPr>
        <w:t xml:space="preserve">   </w:t>
      </w:r>
      <w:r w:rsidR="001C43BF" w:rsidRPr="00D704BE">
        <w:rPr>
          <w:b/>
          <w:noProof/>
          <w:color w:val="365F91" w:themeColor="accent1" w:themeShade="BF"/>
          <w:sz w:val="24"/>
          <w:szCs w:val="24"/>
          <w:lang w:eastAsia="en-GB"/>
        </w:rPr>
        <w:drawing>
          <wp:inline distT="0" distB="0" distL="0" distR="0">
            <wp:extent cx="1259205" cy="750570"/>
            <wp:effectExtent l="19050" t="0" r="0" b="0"/>
            <wp:docPr id="1" name="Picture 1"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HiRes"/>
                    <pic:cNvPicPr>
                      <a:picLocks noChangeAspect="1" noChangeArrowheads="1"/>
                    </pic:cNvPicPr>
                  </pic:nvPicPr>
                  <pic:blipFill>
                    <a:blip r:embed="rId7" cstate="print"/>
                    <a:srcRect/>
                    <a:stretch>
                      <a:fillRect/>
                    </a:stretch>
                  </pic:blipFill>
                  <pic:spPr bwMode="auto">
                    <a:xfrm>
                      <a:off x="0" y="0"/>
                      <a:ext cx="1259205" cy="750570"/>
                    </a:xfrm>
                    <a:prstGeom prst="rect">
                      <a:avLst/>
                    </a:prstGeom>
                    <a:noFill/>
                    <a:ln w="9525">
                      <a:noFill/>
                      <a:miter lim="800000"/>
                      <a:headEnd/>
                      <a:tailEnd/>
                    </a:ln>
                  </pic:spPr>
                </pic:pic>
              </a:graphicData>
            </a:graphic>
          </wp:inline>
        </w:drawing>
      </w:r>
    </w:p>
    <w:p w:rsidR="001C43BF" w:rsidRPr="00D704BE" w:rsidRDefault="005B310E">
      <w:pPr>
        <w:rPr>
          <w:b/>
          <w:color w:val="365F91" w:themeColor="accent1" w:themeShade="BF"/>
          <w:sz w:val="24"/>
          <w:szCs w:val="24"/>
        </w:rPr>
      </w:pPr>
      <w:r>
        <w:rPr>
          <w:b/>
          <w:color w:val="365F91" w:themeColor="accent1" w:themeShade="BF"/>
          <w:sz w:val="24"/>
          <w:szCs w:val="24"/>
        </w:rPr>
        <w:t>December</w:t>
      </w:r>
      <w:r w:rsidR="001C43BF" w:rsidRPr="00D704BE">
        <w:rPr>
          <w:b/>
          <w:color w:val="365F91" w:themeColor="accent1" w:themeShade="BF"/>
          <w:sz w:val="24"/>
          <w:szCs w:val="24"/>
        </w:rPr>
        <w:t xml:space="preserve"> 2016</w:t>
      </w:r>
    </w:p>
    <w:p w:rsidR="001C43BF" w:rsidRDefault="001C43BF"/>
    <w:p w:rsidR="001C43BF" w:rsidRDefault="001C43BF"/>
    <w:tbl>
      <w:tblPr>
        <w:tblStyle w:val="TableGrid"/>
        <w:tblW w:w="0" w:type="auto"/>
        <w:tblLook w:val="04A0"/>
      </w:tblPr>
      <w:tblGrid>
        <w:gridCol w:w="3510"/>
        <w:gridCol w:w="7230"/>
        <w:gridCol w:w="3434"/>
      </w:tblGrid>
      <w:tr w:rsidR="001C43BF" w:rsidTr="003176B9">
        <w:tc>
          <w:tcPr>
            <w:tcW w:w="3510" w:type="dxa"/>
            <w:shd w:val="clear" w:color="auto" w:fill="F2F2F2" w:themeFill="background1" w:themeFillShade="F2"/>
          </w:tcPr>
          <w:p w:rsidR="001C43BF" w:rsidRPr="00D704BE" w:rsidRDefault="001C43BF" w:rsidP="0047382F">
            <w:pPr>
              <w:jc w:val="center"/>
              <w:rPr>
                <w:b/>
                <w:color w:val="365F91" w:themeColor="accent1" w:themeShade="BF"/>
                <w:sz w:val="24"/>
                <w:szCs w:val="24"/>
              </w:rPr>
            </w:pPr>
            <w:r w:rsidRPr="00D704BE">
              <w:rPr>
                <w:b/>
                <w:color w:val="365F91" w:themeColor="accent1" w:themeShade="BF"/>
                <w:sz w:val="24"/>
                <w:szCs w:val="24"/>
              </w:rPr>
              <w:t>Acute Sector/HSCP</w:t>
            </w:r>
            <w:r w:rsidR="005B310E">
              <w:rPr>
                <w:b/>
                <w:color w:val="365F91" w:themeColor="accent1" w:themeShade="BF"/>
                <w:sz w:val="24"/>
                <w:szCs w:val="24"/>
              </w:rPr>
              <w:t>/Other</w:t>
            </w:r>
          </w:p>
        </w:tc>
        <w:tc>
          <w:tcPr>
            <w:tcW w:w="7230" w:type="dxa"/>
            <w:shd w:val="clear" w:color="auto" w:fill="F2F2F2" w:themeFill="background1" w:themeFillShade="F2"/>
          </w:tcPr>
          <w:p w:rsidR="001C43BF" w:rsidRPr="00D704BE" w:rsidRDefault="004B615E" w:rsidP="0047382F">
            <w:pPr>
              <w:jc w:val="center"/>
              <w:rPr>
                <w:b/>
                <w:color w:val="365F91" w:themeColor="accent1" w:themeShade="BF"/>
                <w:sz w:val="24"/>
                <w:szCs w:val="24"/>
              </w:rPr>
            </w:pPr>
            <w:r>
              <w:rPr>
                <w:b/>
                <w:color w:val="365F91" w:themeColor="accent1" w:themeShade="BF"/>
                <w:sz w:val="24"/>
                <w:szCs w:val="24"/>
              </w:rPr>
              <w:t>Education/</w:t>
            </w:r>
            <w:r w:rsidR="005B310E">
              <w:rPr>
                <w:b/>
                <w:color w:val="365F91" w:themeColor="accent1" w:themeShade="BF"/>
                <w:sz w:val="24"/>
                <w:szCs w:val="24"/>
              </w:rPr>
              <w:t>Training Provided</w:t>
            </w:r>
          </w:p>
        </w:tc>
        <w:tc>
          <w:tcPr>
            <w:tcW w:w="3434" w:type="dxa"/>
            <w:shd w:val="clear" w:color="auto" w:fill="F2F2F2" w:themeFill="background1" w:themeFillShade="F2"/>
          </w:tcPr>
          <w:p w:rsidR="001C43BF" w:rsidRPr="00D704BE" w:rsidRDefault="00580ED9" w:rsidP="0047382F">
            <w:pPr>
              <w:jc w:val="center"/>
              <w:rPr>
                <w:b/>
                <w:color w:val="365F91" w:themeColor="accent1" w:themeShade="BF"/>
                <w:sz w:val="24"/>
                <w:szCs w:val="24"/>
              </w:rPr>
            </w:pPr>
            <w:r>
              <w:rPr>
                <w:b/>
                <w:color w:val="365F91" w:themeColor="accent1" w:themeShade="BF"/>
                <w:sz w:val="24"/>
                <w:szCs w:val="24"/>
              </w:rPr>
              <w:t>Services Provided</w:t>
            </w:r>
          </w:p>
          <w:p w:rsidR="001C43BF" w:rsidRPr="00D704BE" w:rsidRDefault="001C43BF" w:rsidP="0047382F">
            <w:pPr>
              <w:jc w:val="center"/>
              <w:rPr>
                <w:b/>
                <w:color w:val="365F91" w:themeColor="accent1" w:themeShade="BF"/>
                <w:sz w:val="24"/>
                <w:szCs w:val="24"/>
              </w:rPr>
            </w:pPr>
          </w:p>
        </w:tc>
      </w:tr>
      <w:tr w:rsidR="001C43BF" w:rsidTr="003176B9">
        <w:tc>
          <w:tcPr>
            <w:tcW w:w="3510" w:type="dxa"/>
          </w:tcPr>
          <w:p w:rsidR="001C43BF" w:rsidRPr="00D704BE" w:rsidRDefault="005B310E">
            <w:pPr>
              <w:rPr>
                <w:b/>
                <w:color w:val="365F91" w:themeColor="accent1" w:themeShade="BF"/>
                <w:sz w:val="24"/>
                <w:szCs w:val="24"/>
              </w:rPr>
            </w:pPr>
            <w:r>
              <w:rPr>
                <w:b/>
                <w:color w:val="365F91" w:themeColor="accent1" w:themeShade="BF"/>
                <w:sz w:val="24"/>
                <w:szCs w:val="24"/>
              </w:rPr>
              <w:t>Marie Curie</w:t>
            </w:r>
            <w:r w:rsidR="004B615E">
              <w:rPr>
                <w:b/>
                <w:color w:val="365F91" w:themeColor="accent1" w:themeShade="BF"/>
                <w:sz w:val="24"/>
                <w:szCs w:val="24"/>
              </w:rPr>
              <w:t xml:space="preserve"> Hospice</w:t>
            </w:r>
          </w:p>
          <w:p w:rsidR="001C43BF" w:rsidRPr="00BF4C16" w:rsidRDefault="001C43BF" w:rsidP="0047382F">
            <w:pPr>
              <w:rPr>
                <w:b/>
                <w:sz w:val="24"/>
                <w:szCs w:val="24"/>
              </w:rPr>
            </w:pPr>
          </w:p>
        </w:tc>
        <w:tc>
          <w:tcPr>
            <w:tcW w:w="7230" w:type="dxa"/>
          </w:tcPr>
          <w:p w:rsidR="001C43BF" w:rsidRDefault="001C43BF" w:rsidP="0047382F"/>
          <w:p w:rsidR="001C43BF" w:rsidRDefault="005B310E" w:rsidP="005B310E">
            <w:r>
              <w:t xml:space="preserve">Internal training is offered to staff and </w:t>
            </w:r>
            <w:r w:rsidR="004B615E">
              <w:t>volunteers and community nurses free of charge.</w:t>
            </w:r>
          </w:p>
          <w:p w:rsidR="005B310E" w:rsidRDefault="005B310E" w:rsidP="005B310E"/>
          <w:p w:rsidR="00580ED9" w:rsidRDefault="00580ED9" w:rsidP="00580ED9"/>
        </w:tc>
        <w:tc>
          <w:tcPr>
            <w:tcW w:w="3434" w:type="dxa"/>
          </w:tcPr>
          <w:p w:rsidR="001C43BF" w:rsidRDefault="001C43BF"/>
          <w:p w:rsidR="00580ED9" w:rsidRDefault="00580ED9" w:rsidP="00580ED9">
            <w:r>
              <w:t>Bereavement services are offered to in-patients, out patients. Day Service patients and community patients.  This service is also open to all families of patients including children and young people.</w:t>
            </w:r>
          </w:p>
          <w:p w:rsidR="00580ED9" w:rsidRDefault="00580ED9" w:rsidP="00580ED9"/>
          <w:p w:rsidR="00580ED9" w:rsidRDefault="00580ED9" w:rsidP="00580ED9">
            <w:r>
              <w:t>External referrals come from GP-Health Social Work/Mental Health or schools.</w:t>
            </w:r>
          </w:p>
          <w:p w:rsidR="001C43BF" w:rsidRDefault="00580ED9" w:rsidP="00580ED9">
            <w:r>
              <w:t>Families can self-refer mainly North East of Glasgow.</w:t>
            </w:r>
          </w:p>
          <w:p w:rsidR="001C43BF" w:rsidRDefault="001C43BF"/>
        </w:tc>
      </w:tr>
      <w:tr w:rsidR="001C43BF" w:rsidTr="003176B9">
        <w:tc>
          <w:tcPr>
            <w:tcW w:w="3510" w:type="dxa"/>
          </w:tcPr>
          <w:p w:rsidR="001C43BF" w:rsidRPr="00E82BF4" w:rsidRDefault="00580ED9">
            <w:pPr>
              <w:rPr>
                <w:b/>
                <w:color w:val="1F497D" w:themeColor="text2"/>
                <w:sz w:val="24"/>
                <w:szCs w:val="24"/>
              </w:rPr>
            </w:pPr>
            <w:r w:rsidRPr="00E82BF4">
              <w:rPr>
                <w:b/>
                <w:color w:val="1F497D" w:themeColor="text2"/>
                <w:sz w:val="24"/>
                <w:szCs w:val="24"/>
              </w:rPr>
              <w:t>Queen Margaret of Scotland</w:t>
            </w:r>
            <w:r w:rsidR="00E82BF4" w:rsidRPr="00E82BF4">
              <w:rPr>
                <w:b/>
                <w:color w:val="1F497D" w:themeColor="text2"/>
                <w:sz w:val="24"/>
                <w:szCs w:val="24"/>
              </w:rPr>
              <w:t xml:space="preserve"> Hospice</w:t>
            </w:r>
          </w:p>
          <w:p w:rsidR="001C43BF" w:rsidRPr="00E2019A" w:rsidRDefault="001C43BF">
            <w:pPr>
              <w:rPr>
                <w:b/>
                <w:sz w:val="24"/>
                <w:szCs w:val="24"/>
              </w:rPr>
            </w:pPr>
          </w:p>
        </w:tc>
        <w:tc>
          <w:tcPr>
            <w:tcW w:w="7230" w:type="dxa"/>
          </w:tcPr>
          <w:p w:rsidR="004B615E" w:rsidRDefault="004B615E" w:rsidP="00580ED9">
            <w:pPr>
              <w:rPr>
                <w:rStyle w:val="apple-converted-space"/>
                <w:rFonts w:eastAsia="Times New Roman"/>
                <w:color w:val="454545"/>
                <w:lang w:eastAsia="en-GB"/>
              </w:rPr>
            </w:pPr>
          </w:p>
          <w:p w:rsidR="001C43BF" w:rsidRDefault="00580ED9" w:rsidP="00580ED9">
            <w:pPr>
              <w:rPr>
                <w:rFonts w:cs="Calibri"/>
              </w:rPr>
            </w:pPr>
            <w:r w:rsidRPr="00580ED9">
              <w:rPr>
                <w:rFonts w:cs="Calibri"/>
              </w:rPr>
              <w:t>Introduction to Palliative Care- 4 day course twice per year, free to all</w:t>
            </w:r>
            <w:r>
              <w:rPr>
                <w:rFonts w:cs="Calibri"/>
              </w:rPr>
              <w:t>.</w:t>
            </w:r>
          </w:p>
          <w:p w:rsidR="00580ED9" w:rsidRDefault="00580ED9" w:rsidP="00580ED9">
            <w:pPr>
              <w:rPr>
                <w:rFonts w:ascii="Calibri" w:hAnsi="Calibri" w:cs="Calibri"/>
              </w:rPr>
            </w:pPr>
            <w:r>
              <w:rPr>
                <w:rFonts w:ascii="Calibri" w:hAnsi="Calibri" w:cs="Calibri"/>
              </w:rPr>
              <w:t>Loss, Grief and Bereavement- 2 day course, once per year, free to all.</w:t>
            </w:r>
          </w:p>
          <w:p w:rsidR="00580ED9" w:rsidRDefault="00580ED9" w:rsidP="00580ED9">
            <w:pPr>
              <w:rPr>
                <w:rFonts w:ascii="Calibri" w:hAnsi="Calibri" w:cs="Calibri"/>
              </w:rPr>
            </w:pPr>
            <w:r>
              <w:rPr>
                <w:rFonts w:ascii="Calibri" w:hAnsi="Calibri" w:cs="Calibri"/>
              </w:rPr>
              <w:t>Advanced Communication Skills- 2 day course, once per year, free to all.</w:t>
            </w:r>
          </w:p>
          <w:p w:rsidR="00580ED9" w:rsidRDefault="00580ED9" w:rsidP="00580ED9">
            <w:pPr>
              <w:autoSpaceDE w:val="0"/>
              <w:autoSpaceDN w:val="0"/>
              <w:adjustRightInd w:val="0"/>
              <w:jc w:val="left"/>
              <w:rPr>
                <w:rFonts w:ascii="Calibri" w:hAnsi="Calibri" w:cs="Calibri"/>
              </w:rPr>
            </w:pPr>
            <w:r>
              <w:rPr>
                <w:rFonts w:ascii="Calibri" w:hAnsi="Calibri" w:cs="Calibri"/>
              </w:rPr>
              <w:t>Communication Skills for Auxiliary Nurses- 1 day workshop, once per year, free to all.</w:t>
            </w:r>
          </w:p>
          <w:p w:rsidR="00580ED9" w:rsidRDefault="00580ED9" w:rsidP="00580ED9">
            <w:pPr>
              <w:autoSpaceDE w:val="0"/>
              <w:autoSpaceDN w:val="0"/>
              <w:adjustRightInd w:val="0"/>
              <w:jc w:val="left"/>
              <w:rPr>
                <w:rFonts w:ascii="Calibri" w:hAnsi="Calibri" w:cs="Calibri"/>
              </w:rPr>
            </w:pPr>
            <w:r>
              <w:rPr>
                <w:rFonts w:ascii="Calibri" w:hAnsi="Calibri" w:cs="Calibri"/>
              </w:rPr>
              <w:t>Communication Skills- Non Clinical Staff- 1 day workshop, once per year, free to all.</w:t>
            </w:r>
          </w:p>
          <w:p w:rsidR="00580ED9" w:rsidRDefault="00580ED9" w:rsidP="00580ED9">
            <w:pPr>
              <w:autoSpaceDE w:val="0"/>
              <w:autoSpaceDN w:val="0"/>
              <w:adjustRightInd w:val="0"/>
              <w:jc w:val="left"/>
              <w:rPr>
                <w:rFonts w:ascii="Calibri" w:hAnsi="Calibri" w:cs="Calibri"/>
              </w:rPr>
            </w:pPr>
            <w:r>
              <w:rPr>
                <w:rFonts w:ascii="Calibri" w:hAnsi="Calibri" w:cs="Calibri"/>
              </w:rPr>
              <w:t>Developing Emotional Resilience- 3 day course, once per year, free to all.</w:t>
            </w:r>
          </w:p>
          <w:p w:rsidR="00580ED9" w:rsidRDefault="00580ED9" w:rsidP="00580ED9">
            <w:pPr>
              <w:autoSpaceDE w:val="0"/>
              <w:autoSpaceDN w:val="0"/>
              <w:adjustRightInd w:val="0"/>
              <w:jc w:val="left"/>
              <w:rPr>
                <w:rFonts w:ascii="Calibri" w:hAnsi="Calibri" w:cs="Calibri"/>
              </w:rPr>
            </w:pPr>
            <w:r>
              <w:rPr>
                <w:rFonts w:ascii="Calibri" w:hAnsi="Calibri" w:cs="Calibri"/>
              </w:rPr>
              <w:lastRenderedPageBreak/>
              <w:t>Accredited Module - End of Life Care: The Principles - accreditation fee only - Trimester A, B &amp; C.</w:t>
            </w:r>
          </w:p>
          <w:p w:rsidR="00580ED9" w:rsidRDefault="00580ED9" w:rsidP="00580ED9">
            <w:pPr>
              <w:autoSpaceDE w:val="0"/>
              <w:autoSpaceDN w:val="0"/>
              <w:adjustRightInd w:val="0"/>
              <w:jc w:val="left"/>
              <w:rPr>
                <w:rFonts w:ascii="Calibri" w:hAnsi="Calibri" w:cs="Calibri"/>
              </w:rPr>
            </w:pPr>
            <w:r>
              <w:rPr>
                <w:rFonts w:ascii="Calibri" w:hAnsi="Calibri" w:cs="Calibri"/>
              </w:rPr>
              <w:t>Lunch &amp; Learn Programmes - Clinical &amp; Psychosocial, free to all.</w:t>
            </w:r>
          </w:p>
          <w:p w:rsidR="00580ED9" w:rsidRPr="00580ED9" w:rsidRDefault="00580ED9" w:rsidP="00580ED9">
            <w:pPr>
              <w:autoSpaceDE w:val="0"/>
              <w:autoSpaceDN w:val="0"/>
              <w:adjustRightInd w:val="0"/>
              <w:jc w:val="left"/>
              <w:rPr>
                <w:rFonts w:ascii="Calibri" w:hAnsi="Calibri" w:cs="Calibri"/>
              </w:rPr>
            </w:pPr>
          </w:p>
        </w:tc>
        <w:tc>
          <w:tcPr>
            <w:tcW w:w="3434" w:type="dxa"/>
          </w:tcPr>
          <w:p w:rsidR="004B615E" w:rsidRDefault="004B615E">
            <w:pPr>
              <w:rPr>
                <w:rFonts w:ascii="Calibri" w:hAnsi="Calibri" w:cs="Calibri"/>
              </w:rPr>
            </w:pPr>
          </w:p>
          <w:p w:rsidR="001C43BF" w:rsidRDefault="00580ED9">
            <w:pPr>
              <w:rPr>
                <w:rFonts w:ascii="Calibri" w:hAnsi="Calibri" w:cs="Calibri"/>
              </w:rPr>
            </w:pPr>
            <w:r>
              <w:rPr>
                <w:rFonts w:ascii="Calibri" w:hAnsi="Calibri" w:cs="Calibri"/>
              </w:rPr>
              <w:t>Breathing Space –help line</w:t>
            </w:r>
          </w:p>
          <w:p w:rsidR="00580ED9" w:rsidRDefault="00580ED9">
            <w:pPr>
              <w:rPr>
                <w:rFonts w:ascii="Calibri" w:hAnsi="Calibri" w:cs="Calibri"/>
              </w:rPr>
            </w:pPr>
            <w:r>
              <w:rPr>
                <w:rFonts w:ascii="Calibri" w:hAnsi="Calibri" w:cs="Calibri"/>
              </w:rPr>
              <w:t>Cruse Bereavement Care Glasgow, 72 Waterloo St</w:t>
            </w:r>
            <w:r w:rsidR="00BB3040">
              <w:rPr>
                <w:rFonts w:ascii="Calibri" w:hAnsi="Calibri" w:cs="Calibri"/>
              </w:rPr>
              <w:t>.</w:t>
            </w:r>
          </w:p>
          <w:p w:rsidR="00580ED9" w:rsidRDefault="00E82BF4">
            <w:pPr>
              <w:rPr>
                <w:rFonts w:ascii="Calibri" w:hAnsi="Calibri" w:cs="Calibri"/>
              </w:rPr>
            </w:pPr>
            <w:r>
              <w:rPr>
                <w:rFonts w:ascii="Calibri" w:hAnsi="Calibri" w:cs="Calibri"/>
              </w:rPr>
              <w:t>Crisis Ltd, Riverside house, Old Ferry Road, Erskine.</w:t>
            </w:r>
          </w:p>
          <w:p w:rsidR="00E82BF4" w:rsidRDefault="00E82BF4" w:rsidP="00E82BF4">
            <w:pPr>
              <w:autoSpaceDE w:val="0"/>
              <w:autoSpaceDN w:val="0"/>
              <w:adjustRightInd w:val="0"/>
              <w:jc w:val="left"/>
              <w:rPr>
                <w:rFonts w:ascii="Calibri" w:hAnsi="Calibri" w:cs="Calibri"/>
              </w:rPr>
            </w:pPr>
            <w:r>
              <w:rPr>
                <w:rFonts w:ascii="Calibri" w:hAnsi="Calibri" w:cs="Calibri"/>
              </w:rPr>
              <w:t>Butterfly Project , Child Bereavement support, St Vincent’s Hospice, Prince and Princes</w:t>
            </w:r>
            <w:r w:rsidR="00BB3040">
              <w:rPr>
                <w:rFonts w:ascii="Calibri" w:hAnsi="Calibri" w:cs="Calibri"/>
              </w:rPr>
              <w:t>s</w:t>
            </w:r>
            <w:r>
              <w:rPr>
                <w:rFonts w:ascii="Calibri" w:hAnsi="Calibri" w:cs="Calibri"/>
              </w:rPr>
              <w:t xml:space="preserve"> of </w:t>
            </w:r>
            <w:r>
              <w:rPr>
                <w:rFonts w:ascii="Calibri" w:hAnsi="Calibri" w:cs="Calibri"/>
              </w:rPr>
              <w:lastRenderedPageBreak/>
              <w:t xml:space="preserve">Wales Hospice, </w:t>
            </w:r>
            <w:proofErr w:type="spellStart"/>
            <w:r>
              <w:rPr>
                <w:rFonts w:ascii="Calibri" w:hAnsi="Calibri" w:cs="Calibri"/>
              </w:rPr>
              <w:t>Ardgowan</w:t>
            </w:r>
            <w:proofErr w:type="spellEnd"/>
            <w:r>
              <w:rPr>
                <w:rFonts w:ascii="Calibri" w:hAnsi="Calibri" w:cs="Calibri"/>
              </w:rPr>
              <w:t xml:space="preserve"> Hospice</w:t>
            </w:r>
          </w:p>
          <w:p w:rsidR="00E82BF4" w:rsidRDefault="00E82BF4" w:rsidP="00E82BF4">
            <w:pPr>
              <w:autoSpaceDE w:val="0"/>
              <w:autoSpaceDN w:val="0"/>
              <w:adjustRightInd w:val="0"/>
              <w:jc w:val="left"/>
              <w:rPr>
                <w:rFonts w:ascii="Calibri" w:hAnsi="Calibri" w:cs="Calibri"/>
              </w:rPr>
            </w:pPr>
            <w:r>
              <w:rPr>
                <w:rFonts w:ascii="Calibri" w:hAnsi="Calibri" w:cs="Calibri"/>
              </w:rPr>
              <w:t>Macmillan Bereavement Support Local libraries.</w:t>
            </w:r>
          </w:p>
          <w:p w:rsidR="00E82BF4" w:rsidRDefault="00E82BF4" w:rsidP="00E82BF4">
            <w:pPr>
              <w:autoSpaceDE w:val="0"/>
              <w:autoSpaceDN w:val="0"/>
              <w:adjustRightInd w:val="0"/>
              <w:jc w:val="left"/>
              <w:rPr>
                <w:rFonts w:ascii="Calibri" w:hAnsi="Calibri" w:cs="Calibri"/>
              </w:rPr>
            </w:pPr>
            <w:r>
              <w:rPr>
                <w:rFonts w:ascii="Calibri" w:hAnsi="Calibri" w:cs="Calibri"/>
              </w:rPr>
              <w:t>Alzheimer’s Scotland.</w:t>
            </w:r>
          </w:p>
          <w:p w:rsidR="00E82BF4" w:rsidRDefault="00E82BF4" w:rsidP="00E82BF4">
            <w:pPr>
              <w:autoSpaceDE w:val="0"/>
              <w:autoSpaceDN w:val="0"/>
              <w:adjustRightInd w:val="0"/>
              <w:jc w:val="left"/>
              <w:rPr>
                <w:rFonts w:ascii="Calibri" w:hAnsi="Calibri" w:cs="Calibri"/>
              </w:rPr>
            </w:pPr>
            <w:r>
              <w:rPr>
                <w:rFonts w:ascii="Calibri" w:hAnsi="Calibri" w:cs="Calibri"/>
              </w:rPr>
              <w:t>CBUK – Maryhill.</w:t>
            </w:r>
          </w:p>
          <w:p w:rsidR="00E82BF4" w:rsidRPr="00E82BF4" w:rsidRDefault="00E82BF4" w:rsidP="00E82BF4">
            <w:pPr>
              <w:autoSpaceDE w:val="0"/>
              <w:autoSpaceDN w:val="0"/>
              <w:adjustRightInd w:val="0"/>
              <w:jc w:val="left"/>
              <w:rPr>
                <w:rFonts w:ascii="Calibri" w:hAnsi="Calibri" w:cs="Calibri"/>
              </w:rPr>
            </w:pPr>
            <w:r>
              <w:rPr>
                <w:rFonts w:ascii="Calibri" w:hAnsi="Calibri" w:cs="Calibri"/>
              </w:rPr>
              <w:t xml:space="preserve">Rainbow Project – </w:t>
            </w:r>
            <w:proofErr w:type="spellStart"/>
            <w:r>
              <w:rPr>
                <w:rFonts w:ascii="Calibri" w:hAnsi="Calibri" w:cs="Calibri"/>
              </w:rPr>
              <w:t>Ibrox</w:t>
            </w:r>
            <w:proofErr w:type="spellEnd"/>
            <w:r>
              <w:rPr>
                <w:rFonts w:ascii="Calibri" w:hAnsi="Calibri" w:cs="Calibri"/>
              </w:rPr>
              <w:t>.</w:t>
            </w:r>
          </w:p>
        </w:tc>
      </w:tr>
      <w:tr w:rsidR="001C43BF" w:rsidTr="003176B9">
        <w:tc>
          <w:tcPr>
            <w:tcW w:w="3510" w:type="dxa"/>
          </w:tcPr>
          <w:p w:rsidR="001C43BF" w:rsidRPr="00E82BF4" w:rsidRDefault="00E82BF4" w:rsidP="0047382F">
            <w:pPr>
              <w:rPr>
                <w:b/>
                <w:color w:val="1F497D" w:themeColor="text2"/>
                <w:sz w:val="24"/>
                <w:szCs w:val="24"/>
              </w:rPr>
            </w:pPr>
            <w:r w:rsidRPr="00E82BF4">
              <w:rPr>
                <w:b/>
                <w:color w:val="1F497D" w:themeColor="text2"/>
                <w:sz w:val="24"/>
                <w:szCs w:val="24"/>
              </w:rPr>
              <w:lastRenderedPageBreak/>
              <w:t>ACCORD</w:t>
            </w:r>
          </w:p>
          <w:p w:rsidR="001C43BF" w:rsidRPr="00E82BF4" w:rsidRDefault="001C43BF">
            <w:pPr>
              <w:rPr>
                <w:b/>
                <w:color w:val="1F497D" w:themeColor="text2"/>
                <w:sz w:val="24"/>
                <w:szCs w:val="24"/>
              </w:rPr>
            </w:pPr>
          </w:p>
          <w:p w:rsidR="001C43BF" w:rsidRPr="00E82BF4" w:rsidRDefault="001C43BF">
            <w:pPr>
              <w:rPr>
                <w:b/>
                <w:color w:val="1F497D" w:themeColor="text2"/>
                <w:sz w:val="24"/>
                <w:szCs w:val="24"/>
              </w:rPr>
            </w:pPr>
          </w:p>
        </w:tc>
        <w:tc>
          <w:tcPr>
            <w:tcW w:w="7230" w:type="dxa"/>
          </w:tcPr>
          <w:p w:rsidR="001C43BF" w:rsidRDefault="007F03AC" w:rsidP="007F03AC">
            <w:pPr>
              <w:pStyle w:val="ListParagraph"/>
              <w:ind w:left="0"/>
            </w:pPr>
            <w:r>
              <w:t>1.  An awareness of loss, grief and bereavement is covered within the Introduction to Palliative Care courses delivered by ACCORD education team. Courses are free of charge and are suitable for trained and untrained staff. Delivered four times a year.</w:t>
            </w:r>
          </w:p>
          <w:p w:rsidR="007F03AC" w:rsidRDefault="007F03AC" w:rsidP="007F03AC">
            <w:pPr>
              <w:pStyle w:val="ListParagraph"/>
              <w:ind w:left="0"/>
            </w:pPr>
          </w:p>
          <w:p w:rsidR="007F03AC" w:rsidRDefault="007F03AC" w:rsidP="007F03AC">
            <w:r>
              <w:t>2. An introduction to counselling skills is used to help people who have experienced loss and bereavement.</w:t>
            </w:r>
          </w:p>
          <w:p w:rsidR="007F03AC" w:rsidRDefault="007F03AC" w:rsidP="007F03AC">
            <w:r>
              <w:t xml:space="preserve">Experiential </w:t>
            </w:r>
          </w:p>
          <w:p w:rsidR="007F03AC" w:rsidRDefault="007F03AC" w:rsidP="007F03AC">
            <w:r>
              <w:t>Delivered over an 8 week period – once every 2 years.</w:t>
            </w:r>
          </w:p>
          <w:p w:rsidR="007F03AC" w:rsidRDefault="007F03AC" w:rsidP="007F03AC">
            <w:r>
              <w:t>Aimed at volunteer bereavement counsellors and free of charge.</w:t>
            </w:r>
          </w:p>
          <w:p w:rsidR="007F03AC" w:rsidRDefault="007F03AC" w:rsidP="007F03AC">
            <w:pPr>
              <w:pStyle w:val="ListParagraph"/>
              <w:ind w:left="0"/>
            </w:pPr>
          </w:p>
          <w:p w:rsidR="007F03AC" w:rsidRDefault="007F03AC" w:rsidP="007F03AC">
            <w:r>
              <w:t>3.  Periodic study days targeting specific topics and open to local community</w:t>
            </w:r>
          </w:p>
          <w:p w:rsidR="007F03AC" w:rsidRDefault="007F03AC" w:rsidP="007F03AC">
            <w:pPr>
              <w:pStyle w:val="ListParagraph"/>
              <w:ind w:left="0"/>
            </w:pPr>
            <w:proofErr w:type="gramStart"/>
            <w:r>
              <w:t>e.g</w:t>
            </w:r>
            <w:proofErr w:type="gramEnd"/>
            <w:r>
              <w:t>. Working with bereaved children/providing support for HR managers to support people back to work following bereavement. All free of charge.</w:t>
            </w:r>
          </w:p>
        </w:tc>
        <w:tc>
          <w:tcPr>
            <w:tcW w:w="3434" w:type="dxa"/>
          </w:tcPr>
          <w:p w:rsidR="007F03AC" w:rsidRDefault="007F03AC" w:rsidP="007F03AC">
            <w:pPr>
              <w:jc w:val="left"/>
            </w:pPr>
            <w:r>
              <w:t xml:space="preserve">The hospice operates a bereavement follow up process where bereaved people known to the hospice are invited to contact the patient and family support service (6 weeks post bereavement). </w:t>
            </w:r>
          </w:p>
          <w:p w:rsidR="007F03AC" w:rsidRDefault="007F03AC" w:rsidP="007F03AC">
            <w:r>
              <w:t xml:space="preserve">Clients are initially offered 6 one to one sessions and can self-refer or be referred from other health care professionals. </w:t>
            </w:r>
          </w:p>
          <w:p w:rsidR="001C43BF" w:rsidRDefault="001C43BF" w:rsidP="0047382F">
            <w:pPr>
              <w:jc w:val="left"/>
              <w:rPr>
                <w:rFonts w:ascii="Calibri" w:eastAsia="Calibri" w:hAnsi="Calibri" w:cs="Times New Roman"/>
              </w:rPr>
            </w:pPr>
          </w:p>
          <w:p w:rsidR="007F03AC" w:rsidRDefault="007F03AC" w:rsidP="007F03AC">
            <w:pPr>
              <w:jc w:val="left"/>
            </w:pPr>
            <w:r>
              <w:t>Bereavement group usually meet for 8 sessions giving members the opportunity to come together and share their experiences. Patient and family support team assess client’s suitability for group sessions.</w:t>
            </w:r>
          </w:p>
          <w:p w:rsidR="007F03AC" w:rsidRDefault="007F03AC" w:rsidP="007F03AC"/>
          <w:p w:rsidR="007F03AC" w:rsidRDefault="007F03AC" w:rsidP="007F03AC">
            <w:r>
              <w:t>Walking group – group meets every week at Outreach centre with volunteer led walks.</w:t>
            </w:r>
          </w:p>
          <w:p w:rsidR="007F03AC" w:rsidRDefault="007F03AC" w:rsidP="007F03AC"/>
          <w:p w:rsidR="007F03AC" w:rsidRDefault="007F03AC" w:rsidP="007F03AC">
            <w:r>
              <w:t xml:space="preserve">APPLES group – </w:t>
            </w:r>
            <w:r w:rsidRPr="00315629">
              <w:rPr>
                <w:b/>
              </w:rPr>
              <w:t>A</w:t>
            </w:r>
            <w:r>
              <w:t xml:space="preserve">ccord a </w:t>
            </w:r>
            <w:r w:rsidRPr="00315629">
              <w:rPr>
                <w:b/>
              </w:rPr>
              <w:t>P</w:t>
            </w:r>
            <w:r>
              <w:t xml:space="preserve">lace </w:t>
            </w:r>
            <w:r w:rsidRPr="00315629">
              <w:rPr>
                <w:b/>
              </w:rPr>
              <w:t>P</w:t>
            </w:r>
            <w:r>
              <w:t>eople</w:t>
            </w:r>
            <w:r w:rsidRPr="00315629">
              <w:rPr>
                <w:b/>
              </w:rPr>
              <w:t xml:space="preserve"> L</w:t>
            </w:r>
            <w:r>
              <w:t xml:space="preserve">isten </w:t>
            </w:r>
            <w:proofErr w:type="spellStart"/>
            <w:r>
              <w:t>re</w:t>
            </w:r>
            <w:r w:rsidRPr="00315629">
              <w:rPr>
                <w:b/>
              </w:rPr>
              <w:t>L</w:t>
            </w:r>
            <w:r>
              <w:t>ate</w:t>
            </w:r>
            <w:proofErr w:type="spellEnd"/>
            <w:r>
              <w:t xml:space="preserve">, </w:t>
            </w:r>
            <w:r w:rsidRPr="00315629">
              <w:rPr>
                <w:b/>
              </w:rPr>
              <w:t>S</w:t>
            </w:r>
            <w:r>
              <w:t>hare</w:t>
            </w:r>
          </w:p>
          <w:p w:rsidR="007F03AC" w:rsidRDefault="007F03AC" w:rsidP="007F03AC">
            <w:pPr>
              <w:jc w:val="left"/>
            </w:pPr>
            <w:r>
              <w:t xml:space="preserve">Patient and family support team </w:t>
            </w:r>
            <w:r>
              <w:lastRenderedPageBreak/>
              <w:t>consists of two trained counsellors and a small team of trained bereavement care volunteers.</w:t>
            </w:r>
          </w:p>
          <w:p w:rsidR="007F03AC" w:rsidRDefault="007F03AC" w:rsidP="007F03AC">
            <w:pPr>
              <w:jc w:val="left"/>
            </w:pPr>
          </w:p>
          <w:p w:rsidR="007F03AC" w:rsidRDefault="007F03AC" w:rsidP="007F03AC">
            <w:pPr>
              <w:jc w:val="left"/>
              <w:rPr>
                <w:rFonts w:ascii="Calibri" w:eastAsia="Calibri" w:hAnsi="Calibri" w:cs="Times New Roman"/>
              </w:rPr>
            </w:pPr>
            <w:r>
              <w:t>Annual service of remembering – held once a year and now an established event within the local community for families and friends of people who have been cared for by Accord.</w:t>
            </w:r>
          </w:p>
          <w:p w:rsidR="001C43BF" w:rsidRDefault="001C43BF" w:rsidP="0047382F"/>
        </w:tc>
      </w:tr>
      <w:tr w:rsidR="001C43BF" w:rsidTr="003176B9">
        <w:tc>
          <w:tcPr>
            <w:tcW w:w="3510" w:type="dxa"/>
          </w:tcPr>
          <w:p w:rsidR="001C43BF" w:rsidRPr="00E82BF4" w:rsidRDefault="00E82BF4">
            <w:pPr>
              <w:rPr>
                <w:b/>
                <w:color w:val="1F497D" w:themeColor="text2"/>
                <w:sz w:val="24"/>
                <w:szCs w:val="24"/>
              </w:rPr>
            </w:pPr>
            <w:r w:rsidRPr="00E82BF4">
              <w:rPr>
                <w:b/>
                <w:color w:val="1F497D" w:themeColor="text2"/>
                <w:sz w:val="24"/>
                <w:szCs w:val="24"/>
              </w:rPr>
              <w:lastRenderedPageBreak/>
              <w:t>P</w:t>
            </w:r>
            <w:r w:rsidR="00BB3040">
              <w:rPr>
                <w:b/>
                <w:color w:val="1F497D" w:themeColor="text2"/>
                <w:sz w:val="24"/>
                <w:szCs w:val="24"/>
              </w:rPr>
              <w:t xml:space="preserve">rince and </w:t>
            </w:r>
            <w:r w:rsidRPr="00E82BF4">
              <w:rPr>
                <w:b/>
                <w:color w:val="1F497D" w:themeColor="text2"/>
                <w:sz w:val="24"/>
                <w:szCs w:val="24"/>
              </w:rPr>
              <w:t>P</w:t>
            </w:r>
            <w:r w:rsidR="00BB3040">
              <w:rPr>
                <w:b/>
                <w:color w:val="1F497D" w:themeColor="text2"/>
                <w:sz w:val="24"/>
                <w:szCs w:val="24"/>
              </w:rPr>
              <w:t xml:space="preserve">rincess of </w:t>
            </w:r>
            <w:r w:rsidRPr="00E82BF4">
              <w:rPr>
                <w:b/>
                <w:color w:val="1F497D" w:themeColor="text2"/>
                <w:sz w:val="24"/>
                <w:szCs w:val="24"/>
              </w:rPr>
              <w:t>W</w:t>
            </w:r>
            <w:r w:rsidR="00BB3040">
              <w:rPr>
                <w:b/>
                <w:color w:val="1F497D" w:themeColor="text2"/>
                <w:sz w:val="24"/>
                <w:szCs w:val="24"/>
              </w:rPr>
              <w:t>ales Hospice</w:t>
            </w:r>
          </w:p>
          <w:p w:rsidR="001C43BF" w:rsidRPr="00E82BF4" w:rsidRDefault="001C43BF">
            <w:pPr>
              <w:rPr>
                <w:b/>
                <w:color w:val="1F497D" w:themeColor="text2"/>
                <w:sz w:val="24"/>
                <w:szCs w:val="24"/>
              </w:rPr>
            </w:pPr>
          </w:p>
          <w:p w:rsidR="001C43BF" w:rsidRPr="00E82BF4" w:rsidRDefault="001C43BF">
            <w:pPr>
              <w:rPr>
                <w:b/>
                <w:color w:val="1F497D" w:themeColor="text2"/>
                <w:sz w:val="24"/>
                <w:szCs w:val="24"/>
              </w:rPr>
            </w:pPr>
            <w:r w:rsidRPr="00E82BF4">
              <w:rPr>
                <w:b/>
                <w:color w:val="1F497D" w:themeColor="text2"/>
                <w:sz w:val="24"/>
                <w:szCs w:val="24"/>
              </w:rPr>
              <w:t xml:space="preserve">      </w:t>
            </w:r>
          </w:p>
          <w:p w:rsidR="001C43BF" w:rsidRPr="00E82BF4" w:rsidRDefault="001C43BF">
            <w:pPr>
              <w:rPr>
                <w:b/>
                <w:color w:val="1F497D" w:themeColor="text2"/>
                <w:sz w:val="24"/>
                <w:szCs w:val="24"/>
              </w:rPr>
            </w:pPr>
          </w:p>
          <w:p w:rsidR="001C43BF" w:rsidRPr="00E82BF4" w:rsidRDefault="001C43BF">
            <w:pPr>
              <w:rPr>
                <w:b/>
                <w:color w:val="1F497D" w:themeColor="text2"/>
                <w:sz w:val="24"/>
                <w:szCs w:val="24"/>
              </w:rPr>
            </w:pPr>
          </w:p>
        </w:tc>
        <w:tc>
          <w:tcPr>
            <w:tcW w:w="7230" w:type="dxa"/>
          </w:tcPr>
          <w:p w:rsidR="003176B9" w:rsidRDefault="003176B9" w:rsidP="003176B9">
            <w:pPr>
              <w:rPr>
                <w:b/>
              </w:rPr>
            </w:pPr>
            <w:r w:rsidRPr="003F10AA">
              <w:rPr>
                <w:b/>
              </w:rPr>
              <w:t>All training programmes are currently free of charge at the PPWH</w:t>
            </w:r>
            <w:r>
              <w:rPr>
                <w:b/>
              </w:rPr>
              <w:t>.</w:t>
            </w:r>
          </w:p>
          <w:p w:rsidR="003176B9" w:rsidRPr="003F10AA" w:rsidRDefault="003176B9" w:rsidP="003176B9">
            <w:pPr>
              <w:rPr>
                <w:b/>
              </w:rPr>
            </w:pPr>
          </w:p>
          <w:p w:rsidR="001C43BF" w:rsidRDefault="003176B9" w:rsidP="003176B9">
            <w:pPr>
              <w:pStyle w:val="ListParagraph"/>
              <w:spacing w:after="0" w:line="240" w:lineRule="auto"/>
              <w:ind w:left="0"/>
            </w:pPr>
            <w:r>
              <w:t>1.   A Loss Grief and Bereavement session is delivered in both the “Palliative care in the care home setting” and “symptom assessment and management in palliative care” module which run twice a year.</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r>
              <w:t>2.   A Loss, Grief and Bereavement study day is run twice a year.</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r>
              <w:t>3.   The education and family support team co-facilitate an annual study day for teachers in the Glasgow area on a whole school approach to loss, grief and bereavement and are currently planning a similar event for East Renfrewshire schools.</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r>
              <w:t>4.   A Loss, Grief and Bereavement session is delivered in a 2 day course on palliative care for Health Care Assistants which runs annually.</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r>
              <w:t>5.   Sessions were delivered last year to various social care staff and these are planned again for later in the year.</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r>
              <w:t>6.   Loss, grief and bereavement bespoke training offered to Youth Worker in North of City through Health Improvement Teams.</w:t>
            </w:r>
          </w:p>
          <w:p w:rsidR="003176B9" w:rsidRDefault="003176B9" w:rsidP="003176B9">
            <w:pPr>
              <w:pStyle w:val="ListParagraph"/>
              <w:spacing w:after="0" w:line="240" w:lineRule="auto"/>
              <w:ind w:left="0"/>
            </w:pPr>
          </w:p>
          <w:p w:rsidR="003176B9" w:rsidRDefault="003176B9" w:rsidP="003176B9">
            <w:pPr>
              <w:pStyle w:val="ListParagraph"/>
              <w:spacing w:after="0" w:line="240" w:lineRule="auto"/>
              <w:ind w:left="0"/>
            </w:pPr>
          </w:p>
        </w:tc>
        <w:tc>
          <w:tcPr>
            <w:tcW w:w="3434" w:type="dxa"/>
          </w:tcPr>
          <w:p w:rsidR="001C43BF" w:rsidRDefault="003176B9">
            <w:r>
              <w:lastRenderedPageBreak/>
              <w:t>Spiritual support provided to all day service and ward patients and their families.</w:t>
            </w:r>
          </w:p>
          <w:p w:rsidR="003176B9" w:rsidRDefault="003176B9"/>
          <w:p w:rsidR="003176B9" w:rsidRDefault="003176B9" w:rsidP="003176B9">
            <w:pPr>
              <w:jc w:val="left"/>
            </w:pPr>
            <w:r>
              <w:t>One to one and counselling support provided to all patients, carers, family members and those who are bereaved. This can take place in Hospice or at home.</w:t>
            </w:r>
          </w:p>
          <w:p w:rsidR="003176B9" w:rsidRDefault="003176B9"/>
          <w:p w:rsidR="003176B9" w:rsidRDefault="003176B9" w:rsidP="003176B9">
            <w:pPr>
              <w:jc w:val="left"/>
            </w:pPr>
            <w:r>
              <w:t>Bereavement drop in – monthly drop in for those who are recently bereaved.</w:t>
            </w:r>
          </w:p>
          <w:p w:rsidR="003176B9" w:rsidRDefault="003176B9"/>
          <w:p w:rsidR="003176B9" w:rsidRDefault="003176B9" w:rsidP="003176B9">
            <w:pPr>
              <w:jc w:val="left"/>
            </w:pPr>
            <w:r>
              <w:t>Bereavement groups – variety of groups run throughout the year for those who are bereaved.</w:t>
            </w:r>
          </w:p>
          <w:p w:rsidR="003176B9" w:rsidRDefault="003176B9">
            <w:r>
              <w:t>Carers Drop in and Art for Carers Group – runs last Tuesday of every month for carers.</w:t>
            </w:r>
          </w:p>
          <w:p w:rsidR="003176B9" w:rsidRDefault="003176B9" w:rsidP="003176B9">
            <w:r>
              <w:t xml:space="preserve">Butterfly Service – offer one to one pre and post bereavement support </w:t>
            </w:r>
            <w:r>
              <w:lastRenderedPageBreak/>
              <w:t>for children and young people affected by life limiting conditions.</w:t>
            </w:r>
          </w:p>
          <w:p w:rsidR="003176B9" w:rsidRDefault="003176B9" w:rsidP="003176B9">
            <w:pPr>
              <w:jc w:val="left"/>
            </w:pPr>
            <w:r>
              <w:t>We also offer bereavement groups and are soon to expand our service to include a variety of supports such as – family days; kinship carers group; parents group; dads group; peer support groups for young people; peer mentoring/befriending for young people.</w:t>
            </w:r>
          </w:p>
          <w:p w:rsidR="003176B9" w:rsidRDefault="003176B9" w:rsidP="003176B9">
            <w:pPr>
              <w:jc w:val="left"/>
            </w:pPr>
          </w:p>
          <w:p w:rsidR="003176B9" w:rsidRDefault="003176B9" w:rsidP="003176B9">
            <w:pPr>
              <w:jc w:val="left"/>
            </w:pPr>
            <w:r>
              <w:t>Remembrance Services – offered to those who are recently bereaved. We run four of these per year, by invitation.</w:t>
            </w:r>
          </w:p>
          <w:p w:rsidR="001C43BF" w:rsidRDefault="001C43BF"/>
        </w:tc>
      </w:tr>
      <w:tr w:rsidR="001C43BF" w:rsidTr="003176B9">
        <w:tc>
          <w:tcPr>
            <w:tcW w:w="3510" w:type="dxa"/>
          </w:tcPr>
          <w:p w:rsidR="001C43BF" w:rsidRPr="004B615E" w:rsidRDefault="009F7AA1" w:rsidP="005B310E">
            <w:pPr>
              <w:rPr>
                <w:b/>
                <w:color w:val="1F497D" w:themeColor="text2"/>
                <w:sz w:val="24"/>
                <w:szCs w:val="24"/>
              </w:rPr>
            </w:pPr>
            <w:r w:rsidRPr="004B615E">
              <w:rPr>
                <w:b/>
                <w:color w:val="1F497D" w:themeColor="text2"/>
                <w:sz w:val="24"/>
                <w:szCs w:val="24"/>
              </w:rPr>
              <w:lastRenderedPageBreak/>
              <w:t>Healthcare Chaplaincy Service</w:t>
            </w:r>
          </w:p>
        </w:tc>
        <w:tc>
          <w:tcPr>
            <w:tcW w:w="7230" w:type="dxa"/>
          </w:tcPr>
          <w:p w:rsidR="008959C9" w:rsidRDefault="001C43BF" w:rsidP="008959C9">
            <w:pPr>
              <w:ind w:left="-340"/>
              <w:jc w:val="left"/>
              <w:rPr>
                <w:b/>
              </w:rPr>
            </w:pPr>
            <w:r w:rsidRPr="00B57262">
              <w:rPr>
                <w:b/>
              </w:rPr>
              <w:t xml:space="preserve">  </w:t>
            </w:r>
            <w:r>
              <w:rPr>
                <w:b/>
              </w:rPr>
              <w:t xml:space="preserve">    </w:t>
            </w:r>
          </w:p>
          <w:p w:rsidR="00256C4F" w:rsidRDefault="008959C9" w:rsidP="008959C9">
            <w:pPr>
              <w:jc w:val="left"/>
            </w:pPr>
            <w:r w:rsidRPr="008959C9">
              <w:t>Chaplains deliver</w:t>
            </w:r>
            <w:r w:rsidRPr="009F7AA1">
              <w:t xml:space="preserve"> a</w:t>
            </w:r>
            <w:r>
              <w:t xml:space="preserve"> 2 hr</w:t>
            </w:r>
            <w:r w:rsidRPr="009F7AA1">
              <w:t xml:space="preserve"> ‘Person Centred Bereavement Care’ s</w:t>
            </w:r>
            <w:r>
              <w:t>es</w:t>
            </w:r>
            <w:r w:rsidRPr="009F7AA1">
              <w:t xml:space="preserve">sion to staff teams/groups </w:t>
            </w:r>
            <w:r w:rsidR="004B615E">
              <w:t xml:space="preserve">across NHSGGC </w:t>
            </w:r>
            <w:r w:rsidRPr="009F7AA1">
              <w:t>on request</w:t>
            </w:r>
            <w:r>
              <w:t>.  The aim of the training is to raise awareness of the needs of the dying and their families/carers and to provide staff with information on the bereavement process.</w:t>
            </w:r>
          </w:p>
          <w:p w:rsidR="00A263B6" w:rsidRDefault="00A263B6" w:rsidP="005B310E"/>
          <w:p w:rsidR="00BB3040" w:rsidRPr="00B57262" w:rsidRDefault="00BB3040" w:rsidP="005B310E"/>
        </w:tc>
        <w:tc>
          <w:tcPr>
            <w:tcW w:w="3434" w:type="dxa"/>
          </w:tcPr>
          <w:p w:rsidR="009F7AA1" w:rsidRPr="00B57262" w:rsidRDefault="009F7AA1" w:rsidP="009F7AA1">
            <w:pPr>
              <w:rPr>
                <w:b/>
              </w:rPr>
            </w:pPr>
          </w:p>
          <w:p w:rsidR="009F7AA1" w:rsidRPr="009F7AA1" w:rsidRDefault="009F7AA1" w:rsidP="009F7AA1">
            <w:pPr>
              <w:rPr>
                <w:b/>
              </w:rPr>
            </w:pPr>
            <w:r w:rsidRPr="009F7AA1">
              <w:rPr>
                <w:b/>
              </w:rPr>
              <w:t>All Sites</w:t>
            </w:r>
          </w:p>
          <w:p w:rsidR="001C43BF" w:rsidRDefault="009F7AA1" w:rsidP="004B615E">
            <w:pPr>
              <w:jc w:val="left"/>
            </w:pPr>
            <w:r>
              <w:t>Chaplains regularly receive referrals from w</w:t>
            </w:r>
            <w:r w:rsidR="00BB3040">
              <w:t xml:space="preserve">ards to see patients for </w:t>
            </w:r>
            <w:proofErr w:type="gramStart"/>
            <w:r w:rsidR="00BB3040">
              <w:t xml:space="preserve">whom  </w:t>
            </w:r>
            <w:r>
              <w:t>bereavement</w:t>
            </w:r>
            <w:proofErr w:type="gramEnd"/>
            <w:r>
              <w:t xml:space="preserve"> is a factor in their assessment for care.</w:t>
            </w:r>
          </w:p>
        </w:tc>
      </w:tr>
      <w:tr w:rsidR="001C43BF" w:rsidTr="003176B9">
        <w:tc>
          <w:tcPr>
            <w:tcW w:w="3510" w:type="dxa"/>
          </w:tcPr>
          <w:p w:rsidR="001C43BF" w:rsidRPr="004B615E" w:rsidRDefault="008959C9" w:rsidP="007F03AC">
            <w:pPr>
              <w:jc w:val="left"/>
              <w:rPr>
                <w:b/>
                <w:color w:val="1F497D" w:themeColor="text2"/>
                <w:sz w:val="24"/>
                <w:szCs w:val="24"/>
              </w:rPr>
            </w:pPr>
            <w:r w:rsidRPr="004B615E">
              <w:rPr>
                <w:b/>
                <w:color w:val="1F497D" w:themeColor="text2"/>
                <w:sz w:val="24"/>
                <w:szCs w:val="24"/>
              </w:rPr>
              <w:t>Palliative Care Practice Development (Acute)</w:t>
            </w:r>
          </w:p>
        </w:tc>
        <w:tc>
          <w:tcPr>
            <w:tcW w:w="7230" w:type="dxa"/>
          </w:tcPr>
          <w:p w:rsidR="005B310E" w:rsidRDefault="004B615E" w:rsidP="004B615E">
            <w:pPr>
              <w:pStyle w:val="ListParagraph"/>
              <w:ind w:left="0"/>
            </w:pPr>
            <w:r>
              <w:t xml:space="preserve">1.  </w:t>
            </w:r>
            <w:r w:rsidR="008959C9">
              <w:t xml:space="preserve">Health Care Support Workers – 2 day Palliative Care Course </w:t>
            </w:r>
            <w:r w:rsidR="0000737D">
              <w:t>incorporates a</w:t>
            </w:r>
            <w:r w:rsidR="008959C9">
              <w:t xml:space="preserve"> section on Bereavement Care – Free of charge</w:t>
            </w:r>
            <w:r>
              <w:t>.</w:t>
            </w:r>
          </w:p>
          <w:p w:rsidR="004B615E" w:rsidRDefault="004B615E" w:rsidP="004B615E">
            <w:pPr>
              <w:pStyle w:val="ListParagraph"/>
              <w:ind w:left="0"/>
            </w:pPr>
          </w:p>
          <w:p w:rsidR="008959C9" w:rsidRDefault="004B615E" w:rsidP="004B615E">
            <w:pPr>
              <w:pStyle w:val="ListParagraph"/>
              <w:ind w:left="0"/>
              <w:jc w:val="both"/>
            </w:pPr>
            <w:r>
              <w:t xml:space="preserve">2.  </w:t>
            </w:r>
            <w:r w:rsidR="008959C9">
              <w:t xml:space="preserve">CAS Standard 11 – End of Life Care – Full Day </w:t>
            </w:r>
            <w:r>
              <w:t>for trained staff incorporates a section on Bereavement Care – free of charge for CPD or university charge if undergoing accreditation.</w:t>
            </w:r>
          </w:p>
          <w:p w:rsidR="001C43BF" w:rsidRDefault="001C43BF" w:rsidP="005B310E">
            <w:pPr>
              <w:pStyle w:val="ListParagraph"/>
              <w:jc w:val="both"/>
            </w:pPr>
            <w:r>
              <w:t xml:space="preserve"> </w:t>
            </w:r>
          </w:p>
        </w:tc>
        <w:tc>
          <w:tcPr>
            <w:tcW w:w="3434" w:type="dxa"/>
          </w:tcPr>
          <w:p w:rsidR="001C43BF" w:rsidRDefault="001C43BF"/>
        </w:tc>
      </w:tr>
      <w:tr w:rsidR="0000737D" w:rsidTr="003176B9">
        <w:tc>
          <w:tcPr>
            <w:tcW w:w="3510" w:type="dxa"/>
          </w:tcPr>
          <w:p w:rsidR="0000737D" w:rsidRPr="004B615E" w:rsidRDefault="007F03AC" w:rsidP="0000737D">
            <w:pPr>
              <w:jc w:val="left"/>
              <w:rPr>
                <w:b/>
                <w:color w:val="1F497D" w:themeColor="text2"/>
                <w:sz w:val="24"/>
                <w:szCs w:val="24"/>
              </w:rPr>
            </w:pPr>
            <w:r>
              <w:rPr>
                <w:b/>
                <w:color w:val="1F497D" w:themeColor="text2"/>
                <w:sz w:val="24"/>
                <w:szCs w:val="24"/>
              </w:rPr>
              <w:lastRenderedPageBreak/>
              <w:t>Palliativ</w:t>
            </w:r>
            <w:r w:rsidR="0000737D">
              <w:rPr>
                <w:b/>
                <w:color w:val="1F497D" w:themeColor="text2"/>
                <w:sz w:val="24"/>
                <w:szCs w:val="24"/>
              </w:rPr>
              <w:t>e Care Practice Development (Community)</w:t>
            </w:r>
          </w:p>
        </w:tc>
        <w:tc>
          <w:tcPr>
            <w:tcW w:w="7230" w:type="dxa"/>
          </w:tcPr>
          <w:p w:rsidR="0000737D" w:rsidRDefault="0000737D" w:rsidP="004B615E">
            <w:pPr>
              <w:pStyle w:val="ListParagraph"/>
              <w:ind w:left="0"/>
            </w:pPr>
            <w:r>
              <w:t>1.   Loss, Grief and Bereavement are included as part of our Five day Palliative Care Module run three times a year for Registered Nurses (Free)</w:t>
            </w:r>
          </w:p>
          <w:p w:rsidR="0000737D" w:rsidRDefault="0000737D" w:rsidP="004B615E">
            <w:pPr>
              <w:pStyle w:val="ListParagraph"/>
              <w:ind w:left="0"/>
            </w:pPr>
          </w:p>
          <w:p w:rsidR="0000737D" w:rsidRDefault="0000737D" w:rsidP="004B615E">
            <w:pPr>
              <w:pStyle w:val="ListParagraph"/>
              <w:ind w:left="0"/>
            </w:pPr>
            <w:r>
              <w:t>2.  Two further modules are run in conjunction with the PPW Hospice for Care Home staff and also include Loss, Grief and Bereavement (Free)</w:t>
            </w:r>
          </w:p>
          <w:p w:rsidR="0000737D" w:rsidRDefault="0000737D" w:rsidP="004B615E">
            <w:pPr>
              <w:pStyle w:val="ListParagraph"/>
              <w:ind w:left="0"/>
            </w:pPr>
          </w:p>
          <w:p w:rsidR="0000737D" w:rsidRDefault="0000737D" w:rsidP="004B615E">
            <w:pPr>
              <w:pStyle w:val="ListParagraph"/>
              <w:ind w:left="0"/>
            </w:pPr>
            <w:r>
              <w:t>3.   Team currently considering running half day sessions on Loss, Grief and Bereavement for Health and Social Care Staff.</w:t>
            </w:r>
          </w:p>
        </w:tc>
        <w:tc>
          <w:tcPr>
            <w:tcW w:w="3434" w:type="dxa"/>
          </w:tcPr>
          <w:p w:rsidR="0000737D" w:rsidRDefault="0000737D"/>
        </w:tc>
      </w:tr>
      <w:tr w:rsidR="004B615E" w:rsidTr="003176B9">
        <w:tc>
          <w:tcPr>
            <w:tcW w:w="3510" w:type="dxa"/>
          </w:tcPr>
          <w:p w:rsidR="004B615E" w:rsidRDefault="004B615E">
            <w:pPr>
              <w:rPr>
                <w:b/>
                <w:color w:val="365F91" w:themeColor="accent1" w:themeShade="BF"/>
                <w:sz w:val="24"/>
                <w:szCs w:val="24"/>
              </w:rPr>
            </w:pPr>
            <w:r>
              <w:rPr>
                <w:b/>
                <w:color w:val="365F91" w:themeColor="accent1" w:themeShade="BF"/>
                <w:sz w:val="24"/>
                <w:szCs w:val="24"/>
              </w:rPr>
              <w:t xml:space="preserve">Learning and Education </w:t>
            </w:r>
          </w:p>
        </w:tc>
        <w:tc>
          <w:tcPr>
            <w:tcW w:w="7230" w:type="dxa"/>
          </w:tcPr>
          <w:p w:rsidR="004B615E" w:rsidRDefault="00C03840" w:rsidP="0047382F">
            <w:r>
              <w:t xml:space="preserve">There is no specific training offered by L&amp;E in relation to Bereavement however a </w:t>
            </w:r>
            <w:proofErr w:type="spellStart"/>
            <w:r>
              <w:t>LearnPro</w:t>
            </w:r>
            <w:proofErr w:type="spellEnd"/>
            <w:r>
              <w:t xml:space="preserve"> module is available for staff to access as part of CPD entitled</w:t>
            </w:r>
            <w:r w:rsidR="004B615E" w:rsidRPr="004B615E">
              <w:t>:</w:t>
            </w:r>
          </w:p>
          <w:p w:rsidR="00C03840" w:rsidRDefault="00C03840" w:rsidP="0047382F"/>
          <w:p w:rsidR="00C03840" w:rsidRPr="00BB3040" w:rsidRDefault="00C03840" w:rsidP="0047382F">
            <w:pPr>
              <w:rPr>
                <w:b/>
              </w:rPr>
            </w:pPr>
            <w:r w:rsidRPr="00BB3040">
              <w:rPr>
                <w:b/>
              </w:rPr>
              <w:t>Bereavement and Loss for NHS Scotland.</w:t>
            </w:r>
          </w:p>
          <w:p w:rsidR="004B615E" w:rsidRPr="00C31940" w:rsidRDefault="004B615E" w:rsidP="0047382F">
            <w:pPr>
              <w:rPr>
                <w:b/>
              </w:rPr>
            </w:pPr>
          </w:p>
        </w:tc>
        <w:tc>
          <w:tcPr>
            <w:tcW w:w="3434" w:type="dxa"/>
          </w:tcPr>
          <w:p w:rsidR="004B615E" w:rsidRDefault="004B615E"/>
        </w:tc>
      </w:tr>
    </w:tbl>
    <w:p w:rsidR="001C43BF" w:rsidRDefault="001C43BF"/>
    <w:p w:rsidR="005E73CD" w:rsidRPr="00D132EA" w:rsidRDefault="005E73CD" w:rsidP="00A50FFE">
      <w:pPr>
        <w:spacing w:line="276" w:lineRule="auto"/>
        <w:rPr>
          <w:rFonts w:ascii="Arial" w:hAnsi="Arial" w:cs="Arial"/>
          <w:color w:val="000000"/>
        </w:rPr>
      </w:pPr>
    </w:p>
    <w:p w:rsidR="007C5BF5" w:rsidRPr="00D132EA" w:rsidRDefault="007C5BF5"/>
    <w:sectPr w:rsidR="007C5BF5" w:rsidRPr="00D132EA" w:rsidSect="005E73C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A42"/>
    <w:multiLevelType w:val="hybridMultilevel"/>
    <w:tmpl w:val="E12C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320F9"/>
    <w:multiLevelType w:val="hybridMultilevel"/>
    <w:tmpl w:val="D3B0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F6D65"/>
    <w:multiLevelType w:val="hybridMultilevel"/>
    <w:tmpl w:val="CBB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73781"/>
    <w:multiLevelType w:val="hybridMultilevel"/>
    <w:tmpl w:val="42C8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D4BEC"/>
    <w:multiLevelType w:val="hybridMultilevel"/>
    <w:tmpl w:val="7142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80340"/>
    <w:multiLevelType w:val="hybridMultilevel"/>
    <w:tmpl w:val="0A6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4C36"/>
    <w:multiLevelType w:val="hybridMultilevel"/>
    <w:tmpl w:val="CAA8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B20A6"/>
    <w:multiLevelType w:val="hybridMultilevel"/>
    <w:tmpl w:val="FA38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63EC4"/>
    <w:multiLevelType w:val="hybridMultilevel"/>
    <w:tmpl w:val="99E0AD5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21512"/>
    <w:multiLevelType w:val="hybridMultilevel"/>
    <w:tmpl w:val="2AA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D47B4E"/>
    <w:multiLevelType w:val="hybridMultilevel"/>
    <w:tmpl w:val="08BC76A8"/>
    <w:lvl w:ilvl="0" w:tplc="698CBCD6">
      <w:start w:val="1"/>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nsid w:val="1D643C0E"/>
    <w:multiLevelType w:val="hybridMultilevel"/>
    <w:tmpl w:val="C2CC9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D1CD3"/>
    <w:multiLevelType w:val="hybridMultilevel"/>
    <w:tmpl w:val="5BDEE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9465C7"/>
    <w:multiLevelType w:val="hybridMultilevel"/>
    <w:tmpl w:val="58ECEA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8295841"/>
    <w:multiLevelType w:val="hybridMultilevel"/>
    <w:tmpl w:val="F0D23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C8012A"/>
    <w:multiLevelType w:val="hybridMultilevel"/>
    <w:tmpl w:val="A39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352C0"/>
    <w:multiLevelType w:val="hybridMultilevel"/>
    <w:tmpl w:val="BBF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01BAF"/>
    <w:multiLevelType w:val="hybridMultilevel"/>
    <w:tmpl w:val="A704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27BAD"/>
    <w:multiLevelType w:val="hybridMultilevel"/>
    <w:tmpl w:val="A2A8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B24C0"/>
    <w:multiLevelType w:val="hybridMultilevel"/>
    <w:tmpl w:val="244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33D1E"/>
    <w:multiLevelType w:val="hybridMultilevel"/>
    <w:tmpl w:val="06E25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A37BF5"/>
    <w:multiLevelType w:val="hybridMultilevel"/>
    <w:tmpl w:val="8BC2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3187D"/>
    <w:multiLevelType w:val="hybridMultilevel"/>
    <w:tmpl w:val="114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3C79BF"/>
    <w:multiLevelType w:val="hybridMultilevel"/>
    <w:tmpl w:val="53E25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8536CA"/>
    <w:multiLevelType w:val="hybridMultilevel"/>
    <w:tmpl w:val="5CE6635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176223"/>
    <w:multiLevelType w:val="hybridMultilevel"/>
    <w:tmpl w:val="B2D2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8180F"/>
    <w:multiLevelType w:val="hybridMultilevel"/>
    <w:tmpl w:val="195E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01138"/>
    <w:multiLevelType w:val="hybridMultilevel"/>
    <w:tmpl w:val="EDD24E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2CF42F6"/>
    <w:multiLevelType w:val="hybridMultilevel"/>
    <w:tmpl w:val="16700F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74C33DD7"/>
    <w:multiLevelType w:val="hybridMultilevel"/>
    <w:tmpl w:val="6A8C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FC1711"/>
    <w:multiLevelType w:val="multilevel"/>
    <w:tmpl w:val="2DDA6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2D02A4"/>
    <w:multiLevelType w:val="hybridMultilevel"/>
    <w:tmpl w:val="A4CA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AC6FFC"/>
    <w:multiLevelType w:val="hybridMultilevel"/>
    <w:tmpl w:val="C880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0"/>
  </w:num>
  <w:num w:numId="4">
    <w:abstractNumId w:val="29"/>
  </w:num>
  <w:num w:numId="5">
    <w:abstractNumId w:val="11"/>
  </w:num>
  <w:num w:numId="6">
    <w:abstractNumId w:val="12"/>
  </w:num>
  <w:num w:numId="7">
    <w:abstractNumId w:val="5"/>
  </w:num>
  <w:num w:numId="8">
    <w:abstractNumId w:val="31"/>
  </w:num>
  <w:num w:numId="9">
    <w:abstractNumId w:val="27"/>
  </w:num>
  <w:num w:numId="10">
    <w:abstractNumId w:val="20"/>
  </w:num>
  <w:num w:numId="11">
    <w:abstractNumId w:val="14"/>
  </w:num>
  <w:num w:numId="12">
    <w:abstractNumId w:val="23"/>
  </w:num>
  <w:num w:numId="13">
    <w:abstractNumId w:val="8"/>
  </w:num>
  <w:num w:numId="14">
    <w:abstractNumId w:val="24"/>
  </w:num>
  <w:num w:numId="15">
    <w:abstractNumId w:val="2"/>
  </w:num>
  <w:num w:numId="16">
    <w:abstractNumId w:val="32"/>
  </w:num>
  <w:num w:numId="17">
    <w:abstractNumId w:val="28"/>
  </w:num>
  <w:num w:numId="18">
    <w:abstractNumId w:val="15"/>
  </w:num>
  <w:num w:numId="19">
    <w:abstractNumId w:val="4"/>
  </w:num>
  <w:num w:numId="20">
    <w:abstractNumId w:val="13"/>
  </w:num>
  <w:num w:numId="21">
    <w:abstractNumId w:val="0"/>
  </w:num>
  <w:num w:numId="22">
    <w:abstractNumId w:val="19"/>
  </w:num>
  <w:num w:numId="23">
    <w:abstractNumId w:val="6"/>
  </w:num>
  <w:num w:numId="24">
    <w:abstractNumId w:val="26"/>
  </w:num>
  <w:num w:numId="25">
    <w:abstractNumId w:val="25"/>
  </w:num>
  <w:num w:numId="26">
    <w:abstractNumId w:val="9"/>
  </w:num>
  <w:num w:numId="27">
    <w:abstractNumId w:val="17"/>
  </w:num>
  <w:num w:numId="28">
    <w:abstractNumId w:val="1"/>
  </w:num>
  <w:num w:numId="29">
    <w:abstractNumId w:val="22"/>
  </w:num>
  <w:num w:numId="30">
    <w:abstractNumId w:val="18"/>
  </w:num>
  <w:num w:numId="31">
    <w:abstractNumId w:val="7"/>
  </w:num>
  <w:num w:numId="32">
    <w:abstractNumId w:val="2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5BF5"/>
    <w:rsid w:val="0000737D"/>
    <w:rsid w:val="00047754"/>
    <w:rsid w:val="00070B31"/>
    <w:rsid w:val="001C43BF"/>
    <w:rsid w:val="001D61DB"/>
    <w:rsid w:val="001E62B2"/>
    <w:rsid w:val="00256C4F"/>
    <w:rsid w:val="003176B9"/>
    <w:rsid w:val="0047382F"/>
    <w:rsid w:val="00474CE2"/>
    <w:rsid w:val="004B615E"/>
    <w:rsid w:val="004D2AB5"/>
    <w:rsid w:val="00580ED9"/>
    <w:rsid w:val="005B310E"/>
    <w:rsid w:val="005E73CD"/>
    <w:rsid w:val="006758AF"/>
    <w:rsid w:val="007C5BF5"/>
    <w:rsid w:val="007F03AC"/>
    <w:rsid w:val="007F736E"/>
    <w:rsid w:val="00832FBB"/>
    <w:rsid w:val="00891083"/>
    <w:rsid w:val="008959C9"/>
    <w:rsid w:val="00902445"/>
    <w:rsid w:val="009F0708"/>
    <w:rsid w:val="009F7AA1"/>
    <w:rsid w:val="00A263B6"/>
    <w:rsid w:val="00A50FFE"/>
    <w:rsid w:val="00AA2FD6"/>
    <w:rsid w:val="00B2361C"/>
    <w:rsid w:val="00BB3040"/>
    <w:rsid w:val="00C03840"/>
    <w:rsid w:val="00D132EA"/>
    <w:rsid w:val="00DF4A50"/>
    <w:rsid w:val="00E82BF4"/>
    <w:rsid w:val="00F916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BF5"/>
    <w:rPr>
      <w:rFonts w:ascii="Tahoma" w:hAnsi="Tahoma" w:cs="Tahoma"/>
      <w:sz w:val="16"/>
      <w:szCs w:val="16"/>
    </w:rPr>
  </w:style>
  <w:style w:type="character" w:customStyle="1" w:styleId="BalloonTextChar">
    <w:name w:val="Balloon Text Char"/>
    <w:basedOn w:val="DefaultParagraphFont"/>
    <w:link w:val="BalloonText"/>
    <w:uiPriority w:val="99"/>
    <w:semiHidden/>
    <w:rsid w:val="007C5BF5"/>
    <w:rPr>
      <w:rFonts w:ascii="Tahoma" w:hAnsi="Tahoma" w:cs="Tahoma"/>
      <w:sz w:val="16"/>
      <w:szCs w:val="16"/>
    </w:rPr>
  </w:style>
  <w:style w:type="paragraph" w:styleId="ListParagraph">
    <w:name w:val="List Paragraph"/>
    <w:basedOn w:val="Normal"/>
    <w:uiPriority w:val="99"/>
    <w:qFormat/>
    <w:rsid w:val="007C5BF5"/>
    <w:pPr>
      <w:spacing w:after="120" w:line="276" w:lineRule="auto"/>
      <w:ind w:left="720"/>
      <w:contextualSpacing/>
      <w:jc w:val="left"/>
    </w:pPr>
    <w:rPr>
      <w:rFonts w:ascii="Calibri" w:eastAsia="Times New Roman" w:hAnsi="Calibri" w:cs="Times New Roman"/>
    </w:rPr>
  </w:style>
  <w:style w:type="table" w:styleId="TableGrid">
    <w:name w:val="Table Grid"/>
    <w:basedOn w:val="TableNormal"/>
    <w:uiPriority w:val="59"/>
    <w:rsid w:val="001C4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uiPriority w:val="99"/>
    <w:rsid w:val="001C43BF"/>
    <w:rPr>
      <w:rFonts w:ascii=".SFUIText-Regular" w:hAnsi=".SFUIText-Regular" w:cs="Times New Roman"/>
      <w:sz w:val="38"/>
      <w:szCs w:val="38"/>
    </w:rPr>
  </w:style>
  <w:style w:type="character" w:customStyle="1" w:styleId="apple-converted-space">
    <w:name w:val="apple-converted-space"/>
    <w:basedOn w:val="DefaultParagraphFont"/>
    <w:uiPriority w:val="99"/>
    <w:rsid w:val="001C43BF"/>
    <w:rPr>
      <w:rFonts w:cs="Times New Roman"/>
    </w:rPr>
  </w:style>
  <w:style w:type="paragraph" w:customStyle="1" w:styleId="p1">
    <w:name w:val="p1"/>
    <w:basedOn w:val="Normal"/>
    <w:uiPriority w:val="99"/>
    <w:rsid w:val="001C43BF"/>
    <w:pPr>
      <w:jc w:val="left"/>
    </w:pPr>
    <w:rPr>
      <w:rFonts w:ascii=".SF UI Text" w:eastAsia="Times New Roman" w:hAnsi=".SF UI Text" w:cs="Times New Roman"/>
      <w:color w:val="454545"/>
      <w:sz w:val="29"/>
      <w:szCs w:val="29"/>
      <w:lang w:eastAsia="en-GB"/>
    </w:rPr>
  </w:style>
  <w:style w:type="paragraph" w:customStyle="1" w:styleId="p2">
    <w:name w:val="p2"/>
    <w:basedOn w:val="Normal"/>
    <w:uiPriority w:val="99"/>
    <w:rsid w:val="001C43BF"/>
    <w:pPr>
      <w:jc w:val="left"/>
    </w:pPr>
    <w:rPr>
      <w:rFonts w:ascii=".SF UI Text" w:eastAsia="Times New Roman" w:hAnsi=".SF UI Text" w:cs="Times New Roman"/>
      <w:color w:val="454545"/>
      <w:sz w:val="29"/>
      <w:szCs w:val="29"/>
      <w:lang w:eastAsia="en-GB"/>
    </w:rPr>
  </w:style>
  <w:style w:type="character" w:styleId="Hyperlink">
    <w:name w:val="Hyperlink"/>
    <w:basedOn w:val="DefaultParagraphFont"/>
    <w:uiPriority w:val="99"/>
    <w:unhideWhenUsed/>
    <w:rsid w:val="001C4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B9E8A0-5E31-45BD-846B-9AF5DB75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magenmi485</dc:creator>
  <cp:lastModifiedBy>magenmi485</cp:lastModifiedBy>
  <cp:revision>7</cp:revision>
  <cp:lastPrinted>2016-12-22T09:23:00Z</cp:lastPrinted>
  <dcterms:created xsi:type="dcterms:W3CDTF">2016-12-19T12:26:00Z</dcterms:created>
  <dcterms:modified xsi:type="dcterms:W3CDTF">2017-06-07T12:20:00Z</dcterms:modified>
</cp:coreProperties>
</file>