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0EA" w:rsidRDefault="00376677" w:rsidP="003C40EA">
      <w:pPr>
        <w:jc w:val="center"/>
        <w:rPr>
          <w:b/>
        </w:rPr>
      </w:pPr>
      <w:r w:rsidRPr="00376677">
        <w:rPr>
          <w:b/>
        </w:rPr>
        <w:t>Paediatric Palliative Care Unlicensed Specials Information</w:t>
      </w:r>
    </w:p>
    <w:tbl>
      <w:tblPr>
        <w:tblStyle w:val="TableGrid"/>
        <w:tblW w:w="0" w:type="auto"/>
        <w:tblLook w:val="04A0"/>
      </w:tblPr>
      <w:tblGrid>
        <w:gridCol w:w="1817"/>
        <w:gridCol w:w="7425"/>
      </w:tblGrid>
      <w:tr w:rsidR="00EB2A42" w:rsidTr="00564595">
        <w:tc>
          <w:tcPr>
            <w:tcW w:w="9242" w:type="dxa"/>
            <w:gridSpan w:val="2"/>
            <w:shd w:val="clear" w:color="auto" w:fill="B8CCE4" w:themeFill="accent1" w:themeFillTint="66"/>
          </w:tcPr>
          <w:p w:rsidR="00EB2A42" w:rsidRDefault="00EB2A42" w:rsidP="00EB2A42">
            <w:pPr>
              <w:rPr>
                <w:b/>
              </w:rPr>
            </w:pPr>
            <w:r>
              <w:rPr>
                <w:b/>
              </w:rPr>
              <w:t>Midazolam (Epistatus) 10mg/mL buccal liquid</w:t>
            </w:r>
          </w:p>
          <w:p w:rsidR="00EB2A42" w:rsidRDefault="00EB2A42" w:rsidP="00EB2A42">
            <w:pPr>
              <w:rPr>
                <w:b/>
              </w:rPr>
            </w:pPr>
          </w:p>
        </w:tc>
      </w:tr>
      <w:tr w:rsidR="00EB2A42" w:rsidTr="00564595">
        <w:tc>
          <w:tcPr>
            <w:tcW w:w="9242" w:type="dxa"/>
            <w:gridSpan w:val="2"/>
          </w:tcPr>
          <w:p w:rsidR="00EB2A42" w:rsidRDefault="00EB2A42" w:rsidP="00564595">
            <w:r>
              <w:rPr>
                <w:b/>
              </w:rPr>
              <w:t xml:space="preserve">Indications: </w:t>
            </w:r>
            <w:r>
              <w:t>Status epilepticus, sedative/anxioloytic.</w:t>
            </w:r>
          </w:p>
          <w:p w:rsidR="00EB2A42" w:rsidRDefault="00EB2A42" w:rsidP="00564595">
            <w:pPr>
              <w:rPr>
                <w:b/>
              </w:rPr>
            </w:pPr>
          </w:p>
        </w:tc>
      </w:tr>
      <w:tr w:rsidR="00EB2A42" w:rsidRPr="00724B6A" w:rsidTr="00564595">
        <w:tc>
          <w:tcPr>
            <w:tcW w:w="1817" w:type="dxa"/>
          </w:tcPr>
          <w:p w:rsidR="00EB2A42" w:rsidRDefault="00EB2A42" w:rsidP="00564595">
            <w:r>
              <w:rPr>
                <w:b/>
              </w:rPr>
              <w:t xml:space="preserve">Manufacturer: </w:t>
            </w:r>
          </w:p>
          <w:p w:rsidR="00EB2A42" w:rsidRDefault="00EB2A42" w:rsidP="00564595"/>
          <w:p w:rsidR="00EB2A42" w:rsidRDefault="00EB2A42" w:rsidP="00564595">
            <w:pPr>
              <w:shd w:val="clear" w:color="auto" w:fill="FFFFFF"/>
            </w:pPr>
          </w:p>
          <w:p w:rsidR="00EB2A42" w:rsidRPr="00376677" w:rsidRDefault="00EB2A42" w:rsidP="00564595">
            <w:pPr>
              <w:shd w:val="clear" w:color="auto" w:fill="FFFFFF"/>
              <w:spacing w:after="150"/>
              <w:rPr>
                <w:rFonts w:eastAsia="Times New Roman"/>
                <w:color w:val="333333"/>
                <w:szCs w:val="24"/>
                <w:lang w:eastAsia="en-GB"/>
              </w:rPr>
            </w:pPr>
            <w:r w:rsidRPr="00376677">
              <w:rPr>
                <w:rFonts w:eastAsia="Times New Roman"/>
                <w:color w:val="333333"/>
                <w:szCs w:val="24"/>
                <w:lang w:eastAsia="en-GB"/>
              </w:rPr>
              <w:t xml:space="preserve"> </w:t>
            </w:r>
          </w:p>
          <w:p w:rsidR="00EB2A42" w:rsidRDefault="00EB2A42" w:rsidP="00564595">
            <w:pPr>
              <w:rPr>
                <w:b/>
              </w:rPr>
            </w:pPr>
          </w:p>
        </w:tc>
        <w:tc>
          <w:tcPr>
            <w:tcW w:w="7425" w:type="dxa"/>
          </w:tcPr>
          <w:p w:rsidR="00EB2A42" w:rsidRDefault="00EB2A42" w:rsidP="00EB2A42">
            <w:r>
              <w:t>Special Products Ltd.</w:t>
            </w:r>
          </w:p>
          <w:p w:rsidR="00EB2A42" w:rsidRDefault="00EB2A42" w:rsidP="00EB2A42">
            <w:r>
              <w:t>Unit 16 Trade City</w:t>
            </w:r>
          </w:p>
          <w:p w:rsidR="00EB2A42" w:rsidRDefault="00EB2A42" w:rsidP="00EB2A42">
            <w:r>
              <w:t>Avro Way</w:t>
            </w:r>
          </w:p>
          <w:p w:rsidR="00EB2A42" w:rsidRDefault="00EB2A42" w:rsidP="00EB2A42">
            <w:r>
              <w:t>Brooklands Business Park</w:t>
            </w:r>
          </w:p>
          <w:p w:rsidR="00EB2A42" w:rsidRDefault="00EB2A42" w:rsidP="00EB2A42">
            <w:r>
              <w:t>Weybridge, Surrey</w:t>
            </w:r>
          </w:p>
          <w:p w:rsidR="00EB2A42" w:rsidRDefault="00EB2A42" w:rsidP="00EB2A42">
            <w:r>
              <w:t>KT13 0YF</w:t>
            </w:r>
          </w:p>
          <w:p w:rsidR="00EB2A42" w:rsidRPr="00724B6A" w:rsidRDefault="00EB2A42" w:rsidP="00EB2A42"/>
        </w:tc>
      </w:tr>
      <w:tr w:rsidR="00EB2A42" w:rsidTr="00564595">
        <w:tc>
          <w:tcPr>
            <w:tcW w:w="9242" w:type="dxa"/>
            <w:gridSpan w:val="2"/>
          </w:tcPr>
          <w:p w:rsidR="00EB2A42" w:rsidRDefault="00EB2A42" w:rsidP="00564595">
            <w:pPr>
              <w:shd w:val="clear" w:color="auto" w:fill="FFFFFF"/>
              <w:rPr>
                <w:rFonts w:eastAsia="Times New Roman"/>
                <w:bCs/>
                <w:color w:val="333333"/>
                <w:szCs w:val="24"/>
                <w:lang w:eastAsia="en-GB"/>
              </w:rPr>
            </w:pPr>
            <w:r>
              <w:rPr>
                <w:rFonts w:eastAsia="Times New Roman"/>
                <w:bCs/>
                <w:color w:val="333333"/>
                <w:szCs w:val="24"/>
                <w:lang w:eastAsia="en-GB"/>
              </w:rPr>
              <w:t xml:space="preserve">Telephone: </w:t>
            </w:r>
            <w:r w:rsidRPr="00EB2A42">
              <w:rPr>
                <w:rFonts w:eastAsia="Times New Roman"/>
                <w:bCs/>
                <w:color w:val="333333"/>
                <w:szCs w:val="24"/>
                <w:lang w:eastAsia="en-GB"/>
              </w:rPr>
              <w:t>01932 690325</w:t>
            </w:r>
          </w:p>
          <w:p w:rsidR="00EB2A42" w:rsidRPr="00376677" w:rsidRDefault="00EB2A42" w:rsidP="00564595">
            <w:pPr>
              <w:shd w:val="clear" w:color="auto" w:fill="FFFFFF"/>
              <w:rPr>
                <w:rFonts w:eastAsia="Times New Roman"/>
                <w:bCs/>
                <w:color w:val="333333"/>
                <w:szCs w:val="24"/>
                <w:lang w:eastAsia="en-GB"/>
              </w:rPr>
            </w:pPr>
            <w:r w:rsidRPr="00EB2A42">
              <w:rPr>
                <w:rFonts w:eastAsia="Times New Roman"/>
                <w:bCs/>
                <w:color w:val="333333"/>
                <w:szCs w:val="24"/>
                <w:lang w:eastAsia="en-GB"/>
              </w:rPr>
              <w:t>Fax: 01932 341091</w:t>
            </w:r>
          </w:p>
          <w:p w:rsidR="00EB2A42" w:rsidRDefault="00EB2A42" w:rsidP="00564595">
            <w:pPr>
              <w:rPr>
                <w:rFonts w:eastAsia="Times New Roman"/>
                <w:color w:val="333333"/>
                <w:szCs w:val="24"/>
                <w:lang w:eastAsia="en-GB"/>
              </w:rPr>
            </w:pPr>
            <w:r w:rsidRPr="00724B6A">
              <w:rPr>
                <w:rFonts w:eastAsia="Times New Roman"/>
                <w:bCs/>
                <w:color w:val="333333"/>
                <w:szCs w:val="24"/>
                <w:lang w:eastAsia="en-GB"/>
              </w:rPr>
              <w:t>E</w:t>
            </w:r>
            <w:r w:rsidRPr="00376677">
              <w:rPr>
                <w:rFonts w:eastAsia="Times New Roman"/>
                <w:bCs/>
                <w:color w:val="333333"/>
                <w:szCs w:val="24"/>
                <w:lang w:eastAsia="en-GB"/>
              </w:rPr>
              <w:t>mail:</w:t>
            </w:r>
            <w:r w:rsidRPr="00376677">
              <w:rPr>
                <w:rFonts w:eastAsia="Times New Roman"/>
                <w:color w:val="333333"/>
                <w:szCs w:val="24"/>
                <w:lang w:eastAsia="en-GB"/>
              </w:rPr>
              <w:t xml:space="preserve"> </w:t>
            </w:r>
            <w:hyperlink r:id="rId5" w:history="1">
              <w:r w:rsidRPr="00DF5546">
                <w:rPr>
                  <w:rStyle w:val="Hyperlink"/>
                  <w:rFonts w:eastAsia="Times New Roman"/>
                  <w:szCs w:val="24"/>
                  <w:lang w:eastAsia="en-GB"/>
                </w:rPr>
                <w:t>info@specialproducts.biz</w:t>
              </w:r>
            </w:hyperlink>
          </w:p>
          <w:p w:rsidR="00EB2A42" w:rsidRDefault="00EB2A42" w:rsidP="00564595">
            <w:pPr>
              <w:rPr>
                <w:b/>
              </w:rPr>
            </w:pPr>
          </w:p>
        </w:tc>
      </w:tr>
      <w:tr w:rsidR="00EB2A42" w:rsidRPr="00724B6A" w:rsidTr="00564595">
        <w:tc>
          <w:tcPr>
            <w:tcW w:w="9242" w:type="dxa"/>
            <w:gridSpan w:val="2"/>
          </w:tcPr>
          <w:p w:rsidR="00EB2A42" w:rsidRDefault="00EB2A42" w:rsidP="00564595">
            <w:pPr>
              <w:shd w:val="clear" w:color="auto" w:fill="FFFFFF"/>
              <w:rPr>
                <w:szCs w:val="24"/>
              </w:rPr>
            </w:pPr>
            <w:r w:rsidRPr="00724B6A">
              <w:rPr>
                <w:b/>
                <w:szCs w:val="24"/>
              </w:rPr>
              <w:t>Presentation / Pack Size:</w:t>
            </w:r>
            <w:r w:rsidRPr="00724B6A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Amber glass bottle, 5mL </w:t>
            </w:r>
          </w:p>
          <w:p w:rsidR="00EB2A42" w:rsidRDefault="00EB2A42" w:rsidP="00564595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(4 x 1mL doses with 1mL overage) + 4 x 1mL</w:t>
            </w:r>
            <w:r w:rsidRPr="00EB2A42">
              <w:rPr>
                <w:szCs w:val="24"/>
              </w:rPr>
              <w:t xml:space="preserve"> oral syringes</w:t>
            </w:r>
          </w:p>
          <w:p w:rsidR="00EB2A42" w:rsidRDefault="00EB2A42" w:rsidP="00564595">
            <w:pPr>
              <w:shd w:val="clear" w:color="auto" w:fill="FFFFFF"/>
              <w:rPr>
                <w:szCs w:val="24"/>
              </w:rPr>
            </w:pPr>
          </w:p>
          <w:p w:rsidR="00EB2A42" w:rsidRDefault="00EB2A42" w:rsidP="00564595">
            <w:pPr>
              <w:shd w:val="clear" w:color="auto" w:fill="FFFFFF"/>
              <w:rPr>
                <w:szCs w:val="24"/>
              </w:rPr>
            </w:pPr>
            <w:r w:rsidRPr="00EB2A42">
              <w:rPr>
                <w:szCs w:val="24"/>
              </w:rPr>
              <w:t>Also available as pre-filled oral syringes of 2.5mg, 5mg, 7.5mg and 10mg.</w:t>
            </w:r>
          </w:p>
          <w:p w:rsidR="00EB2A42" w:rsidRPr="00724B6A" w:rsidRDefault="00EB2A42" w:rsidP="00564595">
            <w:pPr>
              <w:shd w:val="clear" w:color="auto" w:fill="FFFFFF"/>
              <w:rPr>
                <w:rFonts w:eastAsia="Times New Roman"/>
                <w:bCs/>
                <w:color w:val="333333"/>
                <w:szCs w:val="24"/>
                <w:lang w:eastAsia="en-GB"/>
              </w:rPr>
            </w:pPr>
          </w:p>
        </w:tc>
      </w:tr>
      <w:tr w:rsidR="00EB2A42" w:rsidRPr="00724B6A" w:rsidTr="00EB2A42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EB2A42" w:rsidRPr="00724B6A" w:rsidRDefault="00EB2A42" w:rsidP="00564595">
            <w:pPr>
              <w:shd w:val="clear" w:color="auto" w:fill="FFFFFF"/>
              <w:rPr>
                <w:szCs w:val="24"/>
              </w:rPr>
            </w:pPr>
            <w:r>
              <w:rPr>
                <w:b/>
                <w:szCs w:val="24"/>
              </w:rPr>
              <w:t xml:space="preserve">Dose: </w:t>
            </w:r>
            <w:r w:rsidRPr="00724B6A">
              <w:rPr>
                <w:szCs w:val="24"/>
              </w:rPr>
              <w:t xml:space="preserve">Refer to </w:t>
            </w:r>
            <w:hyperlink r:id="rId6" w:history="1">
              <w:r w:rsidRPr="00724B6A">
                <w:rPr>
                  <w:rStyle w:val="Hyperlink"/>
                  <w:szCs w:val="24"/>
                </w:rPr>
                <w:t>APPM master formulary</w:t>
              </w:r>
            </w:hyperlink>
          </w:p>
          <w:p w:rsidR="00EB2A42" w:rsidRPr="00724B6A" w:rsidRDefault="00EB2A42" w:rsidP="00564595">
            <w:pPr>
              <w:shd w:val="clear" w:color="auto" w:fill="FFFFFF"/>
              <w:rPr>
                <w:b/>
                <w:szCs w:val="24"/>
              </w:rPr>
            </w:pPr>
          </w:p>
        </w:tc>
      </w:tr>
      <w:tr w:rsidR="003C40EA" w:rsidRPr="00724B6A" w:rsidTr="00EB2A42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3C40EA" w:rsidRDefault="003C40EA" w:rsidP="00564595">
            <w:pPr>
              <w:shd w:val="clear" w:color="auto" w:fill="FFFFFF"/>
              <w:rPr>
                <w:szCs w:val="24"/>
              </w:rPr>
            </w:pPr>
            <w:r w:rsidRPr="003C40EA">
              <w:rPr>
                <w:b/>
                <w:szCs w:val="24"/>
              </w:rPr>
              <w:t xml:space="preserve">Patient information: </w:t>
            </w:r>
            <w:hyperlink r:id="rId7" w:history="1">
              <w:r w:rsidRPr="00DF5546">
                <w:rPr>
                  <w:rStyle w:val="Hyperlink"/>
                  <w:szCs w:val="24"/>
                </w:rPr>
                <w:t>http://www.medicinesforchildren.org.uk/midazolam-stopping-seizures</w:t>
              </w:r>
            </w:hyperlink>
          </w:p>
          <w:p w:rsidR="003C40EA" w:rsidRDefault="003C40EA" w:rsidP="00564595">
            <w:pPr>
              <w:shd w:val="clear" w:color="auto" w:fill="FFFFFF"/>
              <w:rPr>
                <w:b/>
                <w:szCs w:val="24"/>
              </w:rPr>
            </w:pPr>
          </w:p>
        </w:tc>
      </w:tr>
      <w:tr w:rsidR="00EB2A42" w:rsidRPr="00724B6A" w:rsidTr="00EB2A42">
        <w:tc>
          <w:tcPr>
            <w:tcW w:w="924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EB2A42" w:rsidRDefault="00EB2A42" w:rsidP="00564595">
            <w:pPr>
              <w:shd w:val="clear" w:color="auto" w:fill="FFFFFF"/>
              <w:rPr>
                <w:b/>
                <w:szCs w:val="24"/>
              </w:rPr>
            </w:pPr>
          </w:p>
          <w:p w:rsidR="00EB2A42" w:rsidRDefault="00EB2A42" w:rsidP="00564595">
            <w:pPr>
              <w:shd w:val="clear" w:color="auto" w:fill="FFFFFF"/>
              <w:rPr>
                <w:b/>
                <w:szCs w:val="24"/>
              </w:rPr>
            </w:pPr>
          </w:p>
        </w:tc>
      </w:tr>
      <w:tr w:rsidR="00724B6A" w:rsidTr="00724B6A">
        <w:tc>
          <w:tcPr>
            <w:tcW w:w="9242" w:type="dxa"/>
            <w:gridSpan w:val="2"/>
            <w:shd w:val="clear" w:color="auto" w:fill="B8CCE4" w:themeFill="accent1" w:themeFillTint="66"/>
          </w:tcPr>
          <w:p w:rsidR="00724B6A" w:rsidRDefault="00724B6A" w:rsidP="00376677">
            <w:pPr>
              <w:rPr>
                <w:b/>
              </w:rPr>
            </w:pPr>
            <w:r>
              <w:rPr>
                <w:b/>
              </w:rPr>
              <w:t>Morphine sulphate 100microgram/mL oral solution</w:t>
            </w:r>
          </w:p>
          <w:p w:rsidR="00724B6A" w:rsidRDefault="00724B6A" w:rsidP="00376677">
            <w:pPr>
              <w:rPr>
                <w:b/>
              </w:rPr>
            </w:pPr>
          </w:p>
        </w:tc>
      </w:tr>
      <w:tr w:rsidR="00724B6A" w:rsidTr="0031778D">
        <w:tc>
          <w:tcPr>
            <w:tcW w:w="9242" w:type="dxa"/>
            <w:gridSpan w:val="2"/>
          </w:tcPr>
          <w:p w:rsidR="00724B6A" w:rsidRDefault="00724B6A" w:rsidP="00376677">
            <w:r>
              <w:rPr>
                <w:b/>
              </w:rPr>
              <w:t xml:space="preserve">Indications: </w:t>
            </w:r>
            <w:r w:rsidRPr="00376677">
              <w:t>Pain or dyspnoea</w:t>
            </w:r>
            <w:r>
              <w:t>. Should be reserved for neonates or infants where the dose required is too small to be accurately measured with the licensed morphine sulphate 10mg/5mL oral solution.</w:t>
            </w:r>
          </w:p>
          <w:p w:rsidR="00724B6A" w:rsidRDefault="00724B6A" w:rsidP="00376677">
            <w:pPr>
              <w:rPr>
                <w:b/>
              </w:rPr>
            </w:pPr>
          </w:p>
        </w:tc>
      </w:tr>
      <w:tr w:rsidR="00724B6A" w:rsidRPr="00724B6A" w:rsidTr="00724B6A">
        <w:tc>
          <w:tcPr>
            <w:tcW w:w="1817" w:type="dxa"/>
          </w:tcPr>
          <w:p w:rsidR="00724B6A" w:rsidRDefault="00724B6A" w:rsidP="00376677">
            <w:r>
              <w:rPr>
                <w:b/>
              </w:rPr>
              <w:t xml:space="preserve">Manufacturer: </w:t>
            </w:r>
          </w:p>
          <w:p w:rsidR="00724B6A" w:rsidRDefault="00724B6A" w:rsidP="00376677"/>
          <w:p w:rsidR="00724B6A" w:rsidRDefault="00724B6A" w:rsidP="00376677">
            <w:pPr>
              <w:shd w:val="clear" w:color="auto" w:fill="FFFFFF"/>
            </w:pPr>
          </w:p>
          <w:p w:rsidR="00724B6A" w:rsidRPr="00376677" w:rsidRDefault="00724B6A" w:rsidP="00376677">
            <w:pPr>
              <w:shd w:val="clear" w:color="auto" w:fill="FFFFFF"/>
              <w:spacing w:after="150"/>
              <w:rPr>
                <w:rFonts w:eastAsia="Times New Roman"/>
                <w:color w:val="333333"/>
                <w:szCs w:val="24"/>
                <w:lang w:eastAsia="en-GB"/>
              </w:rPr>
            </w:pPr>
            <w:r w:rsidRPr="00376677">
              <w:rPr>
                <w:rFonts w:eastAsia="Times New Roman"/>
                <w:color w:val="333333"/>
                <w:szCs w:val="24"/>
                <w:lang w:eastAsia="en-GB"/>
              </w:rPr>
              <w:t xml:space="preserve"> </w:t>
            </w:r>
          </w:p>
          <w:p w:rsidR="00724B6A" w:rsidRDefault="00724B6A" w:rsidP="00376677">
            <w:pPr>
              <w:rPr>
                <w:b/>
              </w:rPr>
            </w:pPr>
          </w:p>
        </w:tc>
        <w:tc>
          <w:tcPr>
            <w:tcW w:w="7425" w:type="dxa"/>
          </w:tcPr>
          <w:p w:rsidR="00724B6A" w:rsidRDefault="00724B6A" w:rsidP="00376677">
            <w:r w:rsidRPr="00724B6A">
              <w:t>Newcastle Specials Pharmacy Production Unit</w:t>
            </w:r>
          </w:p>
          <w:p w:rsidR="00724B6A" w:rsidRDefault="00724B6A" w:rsidP="00724B6A">
            <w:r>
              <w:t>Royal Victoria Infirmary</w:t>
            </w:r>
          </w:p>
          <w:p w:rsidR="00724B6A" w:rsidRDefault="00724B6A" w:rsidP="00724B6A">
            <w:r>
              <w:t>Queen Victoria Road</w:t>
            </w:r>
          </w:p>
          <w:p w:rsidR="00724B6A" w:rsidRDefault="00724B6A" w:rsidP="00724B6A">
            <w:r>
              <w:t>Newcastle upon Tyne</w:t>
            </w:r>
          </w:p>
          <w:p w:rsidR="00724B6A" w:rsidRPr="00724B6A" w:rsidRDefault="00724B6A" w:rsidP="00724B6A">
            <w:r>
              <w:t>NE1 4LP</w:t>
            </w:r>
          </w:p>
        </w:tc>
      </w:tr>
      <w:tr w:rsidR="00724B6A" w:rsidTr="00144B28">
        <w:tc>
          <w:tcPr>
            <w:tcW w:w="9242" w:type="dxa"/>
            <w:gridSpan w:val="2"/>
          </w:tcPr>
          <w:p w:rsidR="003040B7" w:rsidRPr="00376677" w:rsidRDefault="00724B6A" w:rsidP="00724B6A">
            <w:pPr>
              <w:shd w:val="clear" w:color="auto" w:fill="FFFFFF"/>
              <w:rPr>
                <w:rFonts w:eastAsia="Times New Roman"/>
                <w:bCs/>
                <w:color w:val="333333"/>
                <w:szCs w:val="24"/>
                <w:lang w:eastAsia="en-GB"/>
              </w:rPr>
            </w:pPr>
            <w:r w:rsidRPr="00724B6A">
              <w:rPr>
                <w:rFonts w:eastAsia="Times New Roman"/>
                <w:bCs/>
                <w:color w:val="333333"/>
                <w:szCs w:val="24"/>
                <w:lang w:eastAsia="en-GB"/>
              </w:rPr>
              <w:t>Telephone:  </w:t>
            </w:r>
            <w:r w:rsidRPr="00376677">
              <w:rPr>
                <w:rFonts w:eastAsia="Times New Roman"/>
                <w:bCs/>
                <w:color w:val="333333"/>
                <w:szCs w:val="24"/>
                <w:lang w:eastAsia="en-GB"/>
              </w:rPr>
              <w:t>0191</w:t>
            </w:r>
            <w:r w:rsidR="003040B7">
              <w:rPr>
                <w:rFonts w:eastAsia="Times New Roman"/>
                <w:bCs/>
                <w:color w:val="333333"/>
                <w:szCs w:val="24"/>
                <w:lang w:eastAsia="en-GB"/>
              </w:rPr>
              <w:t xml:space="preserve"> 282 0395</w:t>
            </w:r>
          </w:p>
          <w:p w:rsidR="00EB2A42" w:rsidRDefault="00724B6A" w:rsidP="00376677">
            <w:pPr>
              <w:rPr>
                <w:rFonts w:eastAsia="Times New Roman"/>
                <w:color w:val="333333"/>
                <w:szCs w:val="24"/>
                <w:lang w:eastAsia="en-GB"/>
              </w:rPr>
            </w:pPr>
            <w:r w:rsidRPr="00724B6A">
              <w:rPr>
                <w:rFonts w:eastAsia="Times New Roman"/>
                <w:bCs/>
                <w:color w:val="333333"/>
                <w:szCs w:val="24"/>
                <w:lang w:eastAsia="en-GB"/>
              </w:rPr>
              <w:t>E</w:t>
            </w:r>
            <w:r w:rsidRPr="00376677">
              <w:rPr>
                <w:rFonts w:eastAsia="Times New Roman"/>
                <w:bCs/>
                <w:color w:val="333333"/>
                <w:szCs w:val="24"/>
                <w:lang w:eastAsia="en-GB"/>
              </w:rPr>
              <w:t>mail:</w:t>
            </w:r>
            <w:r w:rsidRPr="00376677">
              <w:rPr>
                <w:rFonts w:eastAsia="Times New Roman"/>
                <w:color w:val="333333"/>
                <w:szCs w:val="24"/>
                <w:lang w:eastAsia="en-GB"/>
              </w:rPr>
              <w:t xml:space="preserve"> </w:t>
            </w:r>
            <w:hyperlink r:id="rId8" w:history="1">
              <w:r w:rsidRPr="00376677">
                <w:rPr>
                  <w:rFonts w:eastAsia="Times New Roman"/>
                  <w:color w:val="0060D5"/>
                  <w:szCs w:val="24"/>
                  <w:u w:val="single"/>
                  <w:lang w:eastAsia="en-GB"/>
                </w:rPr>
                <w:t>newcastle.specials@nuth.nhs.uk</w:t>
              </w:r>
            </w:hyperlink>
          </w:p>
          <w:p w:rsidR="00724B6A" w:rsidRDefault="00724B6A" w:rsidP="00376677">
            <w:pPr>
              <w:rPr>
                <w:b/>
              </w:rPr>
            </w:pPr>
          </w:p>
        </w:tc>
      </w:tr>
      <w:tr w:rsidR="00724B6A" w:rsidTr="00144B28">
        <w:tc>
          <w:tcPr>
            <w:tcW w:w="9242" w:type="dxa"/>
            <w:gridSpan w:val="2"/>
          </w:tcPr>
          <w:p w:rsidR="00724B6A" w:rsidRDefault="00724B6A" w:rsidP="00724B6A">
            <w:pPr>
              <w:shd w:val="clear" w:color="auto" w:fill="FFFFFF"/>
              <w:rPr>
                <w:szCs w:val="24"/>
              </w:rPr>
            </w:pPr>
            <w:r w:rsidRPr="00724B6A">
              <w:rPr>
                <w:b/>
                <w:szCs w:val="24"/>
              </w:rPr>
              <w:t>Presentation / Pack Size:</w:t>
            </w:r>
            <w:r w:rsidRPr="00724B6A">
              <w:rPr>
                <w:szCs w:val="24"/>
              </w:rPr>
              <w:t xml:space="preserve"> </w:t>
            </w:r>
            <w:r>
              <w:rPr>
                <w:szCs w:val="24"/>
              </w:rPr>
              <w:t>Amber glass bottle, 60mL</w:t>
            </w:r>
          </w:p>
          <w:p w:rsidR="00724B6A" w:rsidRPr="00724B6A" w:rsidRDefault="00724B6A" w:rsidP="00724B6A">
            <w:pPr>
              <w:shd w:val="clear" w:color="auto" w:fill="FFFFFF"/>
              <w:rPr>
                <w:rFonts w:eastAsia="Times New Roman"/>
                <w:bCs/>
                <w:color w:val="333333"/>
                <w:szCs w:val="24"/>
                <w:lang w:eastAsia="en-GB"/>
              </w:rPr>
            </w:pPr>
          </w:p>
        </w:tc>
      </w:tr>
      <w:tr w:rsidR="00724B6A" w:rsidTr="00724B6A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724B6A" w:rsidRPr="00724B6A" w:rsidRDefault="00724B6A" w:rsidP="00724B6A">
            <w:pPr>
              <w:shd w:val="clear" w:color="auto" w:fill="FFFFFF"/>
              <w:rPr>
                <w:szCs w:val="24"/>
              </w:rPr>
            </w:pPr>
            <w:r>
              <w:rPr>
                <w:b/>
                <w:szCs w:val="24"/>
              </w:rPr>
              <w:t xml:space="preserve">Dose: </w:t>
            </w:r>
            <w:r w:rsidRPr="00724B6A">
              <w:rPr>
                <w:szCs w:val="24"/>
              </w:rPr>
              <w:t xml:space="preserve">Refer to </w:t>
            </w:r>
            <w:hyperlink r:id="rId9" w:history="1">
              <w:r w:rsidRPr="00724B6A">
                <w:rPr>
                  <w:rStyle w:val="Hyperlink"/>
                  <w:szCs w:val="24"/>
                </w:rPr>
                <w:t>APPM master formulary</w:t>
              </w:r>
            </w:hyperlink>
          </w:p>
          <w:p w:rsidR="00724B6A" w:rsidRPr="00724B6A" w:rsidRDefault="00724B6A" w:rsidP="00724B6A">
            <w:pPr>
              <w:shd w:val="clear" w:color="auto" w:fill="FFFFFF"/>
              <w:rPr>
                <w:b/>
                <w:szCs w:val="24"/>
              </w:rPr>
            </w:pPr>
          </w:p>
        </w:tc>
      </w:tr>
      <w:tr w:rsidR="00724B6A" w:rsidTr="00724B6A">
        <w:tc>
          <w:tcPr>
            <w:tcW w:w="9242" w:type="dxa"/>
            <w:gridSpan w:val="2"/>
            <w:tcBorders>
              <w:left w:val="nil"/>
              <w:right w:val="nil"/>
            </w:tcBorders>
          </w:tcPr>
          <w:p w:rsidR="00EB2A42" w:rsidRDefault="00EB2A42" w:rsidP="00724B6A">
            <w:pPr>
              <w:shd w:val="clear" w:color="auto" w:fill="FFFFFF"/>
              <w:rPr>
                <w:b/>
                <w:szCs w:val="24"/>
              </w:rPr>
            </w:pPr>
          </w:p>
          <w:p w:rsidR="00EB2A42" w:rsidRDefault="00EB2A42" w:rsidP="00724B6A">
            <w:pPr>
              <w:shd w:val="clear" w:color="auto" w:fill="FFFFFF"/>
              <w:rPr>
                <w:b/>
                <w:szCs w:val="24"/>
              </w:rPr>
            </w:pPr>
          </w:p>
        </w:tc>
      </w:tr>
      <w:tr w:rsidR="00724B6A" w:rsidTr="00724B6A">
        <w:tc>
          <w:tcPr>
            <w:tcW w:w="9242" w:type="dxa"/>
            <w:gridSpan w:val="2"/>
            <w:shd w:val="clear" w:color="auto" w:fill="B8CCE4" w:themeFill="accent1" w:themeFillTint="66"/>
          </w:tcPr>
          <w:p w:rsidR="00724B6A" w:rsidRDefault="00724B6A" w:rsidP="00376677">
            <w:pPr>
              <w:rPr>
                <w:b/>
              </w:rPr>
            </w:pPr>
            <w:r w:rsidRPr="00724B6A">
              <w:rPr>
                <w:b/>
              </w:rPr>
              <w:t>Paraldehyde 50:50 in olive oil</w:t>
            </w:r>
            <w:r w:rsidR="003040B7">
              <w:rPr>
                <w:b/>
              </w:rPr>
              <w:t xml:space="preserve"> enema</w:t>
            </w:r>
          </w:p>
          <w:p w:rsidR="00724B6A" w:rsidRPr="00724B6A" w:rsidRDefault="00724B6A" w:rsidP="00376677">
            <w:pPr>
              <w:rPr>
                <w:b/>
              </w:rPr>
            </w:pPr>
          </w:p>
        </w:tc>
      </w:tr>
      <w:tr w:rsidR="00724B6A" w:rsidTr="00C75688">
        <w:tc>
          <w:tcPr>
            <w:tcW w:w="9242" w:type="dxa"/>
            <w:gridSpan w:val="2"/>
          </w:tcPr>
          <w:p w:rsidR="00724B6A" w:rsidRDefault="00724B6A" w:rsidP="003040B7">
            <w:r>
              <w:rPr>
                <w:b/>
              </w:rPr>
              <w:t xml:space="preserve">Indications: </w:t>
            </w:r>
            <w:r w:rsidR="003040B7">
              <w:t>Treatment of prolonged seizures and status epilepticus.</w:t>
            </w:r>
          </w:p>
          <w:p w:rsidR="003040B7" w:rsidRDefault="003040B7" w:rsidP="003040B7">
            <w:pPr>
              <w:rPr>
                <w:b/>
              </w:rPr>
            </w:pPr>
          </w:p>
        </w:tc>
      </w:tr>
      <w:tr w:rsidR="003040B7" w:rsidTr="00E55F2A">
        <w:tc>
          <w:tcPr>
            <w:tcW w:w="1817" w:type="dxa"/>
          </w:tcPr>
          <w:p w:rsidR="003040B7" w:rsidRDefault="003040B7" w:rsidP="003040B7">
            <w:r>
              <w:rPr>
                <w:b/>
              </w:rPr>
              <w:t xml:space="preserve">Manufacturer: </w:t>
            </w:r>
          </w:p>
          <w:p w:rsidR="003040B7" w:rsidRDefault="003040B7" w:rsidP="00376677">
            <w:pPr>
              <w:rPr>
                <w:b/>
              </w:rPr>
            </w:pPr>
          </w:p>
        </w:tc>
        <w:tc>
          <w:tcPr>
            <w:tcW w:w="7425" w:type="dxa"/>
          </w:tcPr>
          <w:p w:rsidR="003040B7" w:rsidRPr="003040B7" w:rsidRDefault="003040B7" w:rsidP="00376677">
            <w:r>
              <w:lastRenderedPageBreak/>
              <w:t>Stockport Pharmaceuticals</w:t>
            </w:r>
          </w:p>
          <w:p w:rsidR="003040B7" w:rsidRPr="003040B7" w:rsidRDefault="003040B7" w:rsidP="003040B7">
            <w:r w:rsidRPr="003040B7">
              <w:lastRenderedPageBreak/>
              <w:t>Stockport NHS Foundation Trust</w:t>
            </w:r>
          </w:p>
          <w:p w:rsidR="003040B7" w:rsidRPr="003040B7" w:rsidRDefault="003040B7" w:rsidP="003040B7">
            <w:r w:rsidRPr="003040B7">
              <w:t>Stepping Hill Hospital</w:t>
            </w:r>
          </w:p>
          <w:p w:rsidR="003040B7" w:rsidRPr="003040B7" w:rsidRDefault="003040B7" w:rsidP="003040B7">
            <w:r w:rsidRPr="003040B7">
              <w:t>Poplar Grove</w:t>
            </w:r>
          </w:p>
          <w:p w:rsidR="003040B7" w:rsidRPr="003040B7" w:rsidRDefault="003040B7" w:rsidP="003040B7">
            <w:r w:rsidRPr="003040B7">
              <w:t>Stockport</w:t>
            </w:r>
          </w:p>
          <w:p w:rsidR="003040B7" w:rsidRDefault="003040B7" w:rsidP="003040B7">
            <w:r w:rsidRPr="003040B7">
              <w:t>SK2 7JE</w:t>
            </w:r>
          </w:p>
          <w:p w:rsidR="003040B7" w:rsidRDefault="003040B7" w:rsidP="003040B7">
            <w:pPr>
              <w:rPr>
                <w:b/>
              </w:rPr>
            </w:pPr>
          </w:p>
        </w:tc>
      </w:tr>
      <w:tr w:rsidR="003040B7" w:rsidTr="003E7CD6">
        <w:tc>
          <w:tcPr>
            <w:tcW w:w="9242" w:type="dxa"/>
            <w:gridSpan w:val="2"/>
          </w:tcPr>
          <w:p w:rsidR="003040B7" w:rsidRDefault="003040B7" w:rsidP="00376677">
            <w:pPr>
              <w:rPr>
                <w:color w:val="555555"/>
                <w:szCs w:val="24"/>
              </w:rPr>
            </w:pPr>
            <w:r w:rsidRPr="003040B7">
              <w:lastRenderedPageBreak/>
              <w:t>Telephone: 0161 419 5666</w:t>
            </w:r>
            <w:r w:rsidRPr="003040B7">
              <w:rPr>
                <w:color w:val="555555"/>
                <w:sz w:val="21"/>
                <w:szCs w:val="21"/>
              </w:rPr>
              <w:br/>
            </w:r>
            <w:r w:rsidRPr="003040B7">
              <w:rPr>
                <w:szCs w:val="24"/>
              </w:rPr>
              <w:t xml:space="preserve">Fax: 0161 419 5426 </w:t>
            </w:r>
            <w:r w:rsidRPr="003040B7">
              <w:rPr>
                <w:color w:val="555555"/>
                <w:szCs w:val="24"/>
              </w:rPr>
              <w:t>(</w:t>
            </w:r>
            <w:hyperlink r:id="rId10" w:history="1">
              <w:r w:rsidRPr="003040B7">
                <w:rPr>
                  <w:color w:val="729EC5"/>
                  <w:szCs w:val="24"/>
                </w:rPr>
                <w:t>fax order form can be downloaded here</w:t>
              </w:r>
            </w:hyperlink>
            <w:r w:rsidRPr="003040B7">
              <w:rPr>
                <w:color w:val="555555"/>
                <w:szCs w:val="24"/>
              </w:rPr>
              <w:t>)</w:t>
            </w:r>
            <w:r w:rsidRPr="003040B7">
              <w:rPr>
                <w:color w:val="555555"/>
                <w:szCs w:val="24"/>
              </w:rPr>
              <w:br/>
            </w:r>
            <w:r w:rsidRPr="003040B7">
              <w:rPr>
                <w:szCs w:val="24"/>
              </w:rPr>
              <w:t>Email:</w:t>
            </w:r>
            <w:r w:rsidRPr="003040B7">
              <w:rPr>
                <w:color w:val="555555"/>
                <w:szCs w:val="24"/>
              </w:rPr>
              <w:t xml:space="preserve"> </w:t>
            </w:r>
            <w:hyperlink r:id="rId11" w:history="1">
              <w:r w:rsidRPr="00DF5546">
                <w:rPr>
                  <w:rStyle w:val="Hyperlink"/>
                  <w:szCs w:val="24"/>
                </w:rPr>
                <w:t>sppu.orders@stockport.nhs.uk</w:t>
              </w:r>
            </w:hyperlink>
          </w:p>
          <w:p w:rsidR="003040B7" w:rsidRDefault="003040B7" w:rsidP="00376677">
            <w:pPr>
              <w:rPr>
                <w:b/>
              </w:rPr>
            </w:pPr>
          </w:p>
        </w:tc>
      </w:tr>
      <w:tr w:rsidR="003040B7" w:rsidTr="003E7CD6">
        <w:tc>
          <w:tcPr>
            <w:tcW w:w="9242" w:type="dxa"/>
            <w:gridSpan w:val="2"/>
          </w:tcPr>
          <w:p w:rsidR="003040B7" w:rsidRDefault="003040B7" w:rsidP="003040B7">
            <w:pPr>
              <w:shd w:val="clear" w:color="auto" w:fill="FFFFFF"/>
              <w:rPr>
                <w:szCs w:val="24"/>
              </w:rPr>
            </w:pPr>
            <w:r w:rsidRPr="00724B6A">
              <w:rPr>
                <w:b/>
                <w:szCs w:val="24"/>
              </w:rPr>
              <w:t>Presentation / Pack Size:</w:t>
            </w:r>
            <w:r w:rsidRPr="00724B6A">
              <w:rPr>
                <w:szCs w:val="24"/>
              </w:rPr>
              <w:t xml:space="preserve"> </w:t>
            </w:r>
            <w:r>
              <w:rPr>
                <w:szCs w:val="24"/>
              </w:rPr>
              <w:t>Amber glass bottle, 30mL</w:t>
            </w:r>
          </w:p>
          <w:p w:rsidR="003040B7" w:rsidRDefault="003040B7" w:rsidP="003040B7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Premixed solution of paraldehyde in olive oil in equal volumes.</w:t>
            </w:r>
          </w:p>
          <w:p w:rsidR="003040B7" w:rsidRPr="003040B7" w:rsidRDefault="003040B7" w:rsidP="00376677"/>
        </w:tc>
      </w:tr>
      <w:tr w:rsidR="003040B7" w:rsidTr="003E7CD6">
        <w:tc>
          <w:tcPr>
            <w:tcW w:w="9242" w:type="dxa"/>
            <w:gridSpan w:val="2"/>
          </w:tcPr>
          <w:p w:rsidR="003040B7" w:rsidRPr="00724B6A" w:rsidRDefault="003040B7" w:rsidP="003040B7">
            <w:pPr>
              <w:shd w:val="clear" w:color="auto" w:fill="FFFFFF"/>
              <w:rPr>
                <w:szCs w:val="24"/>
              </w:rPr>
            </w:pPr>
            <w:r>
              <w:rPr>
                <w:b/>
                <w:szCs w:val="24"/>
              </w:rPr>
              <w:t xml:space="preserve">Dose: </w:t>
            </w:r>
            <w:r w:rsidRPr="00724B6A">
              <w:rPr>
                <w:szCs w:val="24"/>
              </w:rPr>
              <w:t xml:space="preserve">Refer to </w:t>
            </w:r>
            <w:hyperlink r:id="rId12" w:history="1">
              <w:r w:rsidRPr="00724B6A">
                <w:rPr>
                  <w:rStyle w:val="Hyperlink"/>
                  <w:szCs w:val="24"/>
                </w:rPr>
                <w:t>APPM master formulary</w:t>
              </w:r>
            </w:hyperlink>
            <w:r>
              <w:rPr>
                <w:szCs w:val="24"/>
              </w:rPr>
              <w:t xml:space="preserve"> and BNF for Children</w:t>
            </w:r>
          </w:p>
          <w:p w:rsidR="003040B7" w:rsidRPr="003040B7" w:rsidRDefault="003040B7" w:rsidP="00376677"/>
        </w:tc>
      </w:tr>
      <w:tr w:rsidR="003C40EA" w:rsidTr="003E7CD6">
        <w:tc>
          <w:tcPr>
            <w:tcW w:w="9242" w:type="dxa"/>
            <w:gridSpan w:val="2"/>
          </w:tcPr>
          <w:p w:rsidR="003C40EA" w:rsidRDefault="003C40EA" w:rsidP="003040B7">
            <w:pPr>
              <w:shd w:val="clear" w:color="auto" w:fill="FFFFFF"/>
              <w:rPr>
                <w:szCs w:val="24"/>
              </w:rPr>
            </w:pPr>
            <w:r>
              <w:rPr>
                <w:b/>
                <w:szCs w:val="24"/>
              </w:rPr>
              <w:t xml:space="preserve">Patient information: </w:t>
            </w:r>
            <w:hyperlink r:id="rId13" w:history="1">
              <w:r w:rsidRPr="00DF5546">
                <w:rPr>
                  <w:rStyle w:val="Hyperlink"/>
                  <w:szCs w:val="24"/>
                </w:rPr>
                <w:t>http://www.medicinesforchildren.org.uk/paraldehyde-seizures</w:t>
              </w:r>
            </w:hyperlink>
          </w:p>
          <w:p w:rsidR="003C40EA" w:rsidRDefault="003C40EA" w:rsidP="003040B7">
            <w:pPr>
              <w:shd w:val="clear" w:color="auto" w:fill="FFFFFF"/>
              <w:rPr>
                <w:b/>
                <w:szCs w:val="24"/>
              </w:rPr>
            </w:pPr>
          </w:p>
        </w:tc>
      </w:tr>
      <w:tr w:rsidR="003040B7" w:rsidTr="00EB2A42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3040B7" w:rsidRDefault="003040B7" w:rsidP="003040B7">
            <w:pPr>
              <w:shd w:val="clear" w:color="auto" w:fill="FFFFFF"/>
              <w:rPr>
                <w:b/>
                <w:szCs w:val="24"/>
              </w:rPr>
            </w:pPr>
            <w:r>
              <w:rPr>
                <w:b/>
                <w:szCs w:val="24"/>
              </w:rPr>
              <w:t>Note:</w:t>
            </w:r>
          </w:p>
          <w:p w:rsidR="003040B7" w:rsidRDefault="003040B7" w:rsidP="003040B7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szCs w:val="24"/>
              </w:rPr>
            </w:pPr>
            <w:r w:rsidRPr="003040B7">
              <w:rPr>
                <w:szCs w:val="24"/>
              </w:rPr>
              <w:t>Single use pro</w:t>
            </w:r>
            <w:r>
              <w:rPr>
                <w:szCs w:val="24"/>
              </w:rPr>
              <w:t>duct – discard after opening.</w:t>
            </w:r>
          </w:p>
          <w:p w:rsidR="003040B7" w:rsidRDefault="003040B7" w:rsidP="003040B7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szCs w:val="24"/>
              </w:rPr>
            </w:pPr>
            <w:r w:rsidRPr="003040B7">
              <w:rPr>
                <w:szCs w:val="24"/>
              </w:rPr>
              <w:t>Do not leave the solution in the plastic syringe for any longer than 15 minutes as the paraldehyde will start to eat away at the plastic.</w:t>
            </w:r>
          </w:p>
          <w:p w:rsidR="00540910" w:rsidRDefault="00540910" w:rsidP="00540910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szCs w:val="24"/>
              </w:rPr>
            </w:pPr>
            <w:r w:rsidRPr="00540910">
              <w:rPr>
                <w:szCs w:val="24"/>
              </w:rPr>
              <w:t>Do not give if the liquid has turned brownish in colour, if it has a strong vinegar-like odour, or if the bottle has been opened.</w:t>
            </w:r>
          </w:p>
          <w:p w:rsidR="005F48E4" w:rsidRPr="00EB2A42" w:rsidRDefault="005F48E4" w:rsidP="00EB2A42">
            <w:pPr>
              <w:shd w:val="clear" w:color="auto" w:fill="FFFFFF"/>
              <w:rPr>
                <w:szCs w:val="24"/>
              </w:rPr>
            </w:pPr>
          </w:p>
        </w:tc>
      </w:tr>
      <w:tr w:rsidR="00EB2A42" w:rsidTr="00EB2A42">
        <w:tc>
          <w:tcPr>
            <w:tcW w:w="924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EB2A42" w:rsidRDefault="00EB2A42" w:rsidP="003040B7">
            <w:pPr>
              <w:shd w:val="clear" w:color="auto" w:fill="FFFFFF"/>
              <w:rPr>
                <w:b/>
                <w:szCs w:val="24"/>
              </w:rPr>
            </w:pPr>
          </w:p>
        </w:tc>
      </w:tr>
      <w:tr w:rsidR="002B422F" w:rsidTr="002B422F"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2B422F" w:rsidRDefault="002B422F" w:rsidP="002B422F">
            <w:pPr>
              <w:rPr>
                <w:b/>
              </w:rPr>
            </w:pPr>
            <w:r w:rsidRPr="002B422F">
              <w:rPr>
                <w:b/>
              </w:rPr>
              <w:t>Phenobarbital 50mg/5mL alcohol-free oral solution</w:t>
            </w:r>
          </w:p>
          <w:p w:rsidR="002B422F" w:rsidRPr="002B422F" w:rsidRDefault="002B422F" w:rsidP="002B422F">
            <w:pPr>
              <w:rPr>
                <w:b/>
              </w:rPr>
            </w:pPr>
          </w:p>
        </w:tc>
      </w:tr>
      <w:tr w:rsidR="005F48E4" w:rsidTr="009228A5">
        <w:tc>
          <w:tcPr>
            <w:tcW w:w="9242" w:type="dxa"/>
            <w:gridSpan w:val="2"/>
          </w:tcPr>
          <w:p w:rsidR="005F48E4" w:rsidRDefault="005F48E4" w:rsidP="005F48E4">
            <w:r>
              <w:rPr>
                <w:b/>
              </w:rPr>
              <w:t xml:space="preserve">Indications: </w:t>
            </w:r>
            <w:r w:rsidR="00A2715B">
              <w:t xml:space="preserve">Epilepsy, sedation or </w:t>
            </w:r>
            <w:r>
              <w:t xml:space="preserve">agitation refractory to midazolam in end </w:t>
            </w:r>
            <w:r w:rsidR="002B422F">
              <w:t>of life care. This product should be used as the liquid formulation of choice in children due to the high alcohol content of the licensed phenobarbital 15mg/5mL elixir.</w:t>
            </w:r>
          </w:p>
          <w:p w:rsidR="005F48E4" w:rsidRDefault="005F48E4" w:rsidP="005F48E4">
            <w:pPr>
              <w:jc w:val="center"/>
              <w:rPr>
                <w:b/>
              </w:rPr>
            </w:pPr>
          </w:p>
        </w:tc>
      </w:tr>
      <w:tr w:rsidR="002B422F" w:rsidTr="00A11AB0">
        <w:tc>
          <w:tcPr>
            <w:tcW w:w="1817" w:type="dxa"/>
          </w:tcPr>
          <w:p w:rsidR="002B422F" w:rsidRDefault="002B422F" w:rsidP="00376677">
            <w:pPr>
              <w:rPr>
                <w:b/>
              </w:rPr>
            </w:pPr>
            <w:r>
              <w:rPr>
                <w:b/>
              </w:rPr>
              <w:t>Manufacturer:</w:t>
            </w:r>
          </w:p>
        </w:tc>
        <w:tc>
          <w:tcPr>
            <w:tcW w:w="7425" w:type="dxa"/>
          </w:tcPr>
          <w:p w:rsidR="006F481D" w:rsidRDefault="006F481D" w:rsidP="00376677">
            <w:r>
              <w:t>Pharmacy Production Unit</w:t>
            </w:r>
          </w:p>
          <w:p w:rsidR="006F481D" w:rsidRDefault="006F481D" w:rsidP="00376677">
            <w:r>
              <w:t>Western Infirmary</w:t>
            </w:r>
          </w:p>
          <w:p w:rsidR="002B422F" w:rsidRPr="006F481D" w:rsidRDefault="006F481D" w:rsidP="00376677">
            <w:r w:rsidRPr="006F481D">
              <w:t>Glasgow</w:t>
            </w:r>
          </w:p>
          <w:p w:rsidR="002B422F" w:rsidRDefault="006F481D" w:rsidP="00376677">
            <w:r w:rsidRPr="006F481D">
              <w:t>G11 6NT</w:t>
            </w:r>
          </w:p>
          <w:p w:rsidR="003C40EA" w:rsidRPr="006F481D" w:rsidRDefault="003C40EA" w:rsidP="00376677"/>
        </w:tc>
      </w:tr>
      <w:tr w:rsidR="002B422F" w:rsidTr="003D19BF">
        <w:tc>
          <w:tcPr>
            <w:tcW w:w="9242" w:type="dxa"/>
            <w:gridSpan w:val="2"/>
          </w:tcPr>
          <w:p w:rsidR="002B422F" w:rsidRPr="002B422F" w:rsidRDefault="002B422F" w:rsidP="002B422F">
            <w:r w:rsidRPr="002B422F">
              <w:t xml:space="preserve">Telephone: </w:t>
            </w:r>
            <w:r w:rsidR="006F481D" w:rsidRPr="006F481D">
              <w:t>0141 211 2882</w:t>
            </w:r>
            <w:r w:rsidR="006F481D">
              <w:t xml:space="preserve"> / </w:t>
            </w:r>
            <w:r w:rsidR="006F481D" w:rsidRPr="006F481D">
              <w:t>0141 211 2754</w:t>
            </w:r>
          </w:p>
          <w:p w:rsidR="006F481D" w:rsidRDefault="002B422F" w:rsidP="006F481D">
            <w:pPr>
              <w:rPr>
                <w:szCs w:val="24"/>
              </w:rPr>
            </w:pPr>
            <w:r w:rsidRPr="002B422F">
              <w:t xml:space="preserve">Email: </w:t>
            </w:r>
            <w:hyperlink r:id="rId14" w:history="1">
              <w:r w:rsidR="006F481D" w:rsidRPr="00DF5546">
                <w:rPr>
                  <w:rStyle w:val="Hyperlink"/>
                  <w:szCs w:val="24"/>
                </w:rPr>
                <w:t>graham.conkie@ggc.scot.nhs.uk</w:t>
              </w:r>
            </w:hyperlink>
          </w:p>
          <w:p w:rsidR="002B422F" w:rsidRPr="006F481D" w:rsidRDefault="006F481D" w:rsidP="002B422F">
            <w:pPr>
              <w:rPr>
                <w:szCs w:val="24"/>
              </w:rPr>
            </w:pPr>
            <w:r w:rsidRPr="006F481D">
              <w:rPr>
                <w:szCs w:val="24"/>
              </w:rPr>
              <w:t xml:space="preserve"> </w:t>
            </w:r>
          </w:p>
        </w:tc>
      </w:tr>
      <w:tr w:rsidR="002B422F" w:rsidTr="00EB03DD">
        <w:tc>
          <w:tcPr>
            <w:tcW w:w="9242" w:type="dxa"/>
            <w:gridSpan w:val="2"/>
          </w:tcPr>
          <w:p w:rsidR="002B422F" w:rsidRDefault="002B422F" w:rsidP="002B422F">
            <w:pPr>
              <w:shd w:val="clear" w:color="auto" w:fill="FFFFFF"/>
              <w:rPr>
                <w:szCs w:val="24"/>
              </w:rPr>
            </w:pPr>
            <w:r w:rsidRPr="00724B6A">
              <w:rPr>
                <w:b/>
                <w:szCs w:val="24"/>
              </w:rPr>
              <w:t>Presentation / Pack Size:</w:t>
            </w:r>
            <w:r w:rsidRPr="00724B6A">
              <w:rPr>
                <w:szCs w:val="24"/>
              </w:rPr>
              <w:t xml:space="preserve"> </w:t>
            </w:r>
            <w:r w:rsidR="002515A9">
              <w:rPr>
                <w:szCs w:val="24"/>
              </w:rPr>
              <w:t xml:space="preserve">Amber glass bottle, </w:t>
            </w:r>
            <w:r w:rsidR="00520C23">
              <w:rPr>
                <w:szCs w:val="24"/>
              </w:rPr>
              <w:t>150mL</w:t>
            </w:r>
            <w:bookmarkStart w:id="0" w:name="_GoBack"/>
            <w:bookmarkEnd w:id="0"/>
          </w:p>
          <w:p w:rsidR="002B422F" w:rsidRDefault="002B422F" w:rsidP="00376677">
            <w:pPr>
              <w:rPr>
                <w:b/>
              </w:rPr>
            </w:pPr>
          </w:p>
        </w:tc>
      </w:tr>
      <w:tr w:rsidR="002B422F" w:rsidTr="00C1166D">
        <w:tc>
          <w:tcPr>
            <w:tcW w:w="9242" w:type="dxa"/>
            <w:gridSpan w:val="2"/>
          </w:tcPr>
          <w:p w:rsidR="002B422F" w:rsidRPr="00724B6A" w:rsidRDefault="002B422F" w:rsidP="002B422F">
            <w:pPr>
              <w:shd w:val="clear" w:color="auto" w:fill="FFFFFF"/>
              <w:rPr>
                <w:szCs w:val="24"/>
              </w:rPr>
            </w:pPr>
            <w:r>
              <w:rPr>
                <w:b/>
                <w:szCs w:val="24"/>
              </w:rPr>
              <w:t xml:space="preserve">Dose: </w:t>
            </w:r>
            <w:r w:rsidRPr="00724B6A">
              <w:rPr>
                <w:szCs w:val="24"/>
              </w:rPr>
              <w:t xml:space="preserve">Refer to </w:t>
            </w:r>
            <w:hyperlink r:id="rId15" w:history="1">
              <w:r w:rsidRPr="00724B6A">
                <w:rPr>
                  <w:rStyle w:val="Hyperlink"/>
                  <w:szCs w:val="24"/>
                </w:rPr>
                <w:t>APPM master formulary</w:t>
              </w:r>
            </w:hyperlink>
            <w:r>
              <w:rPr>
                <w:szCs w:val="24"/>
              </w:rPr>
              <w:t xml:space="preserve"> and BNF for Children</w:t>
            </w:r>
          </w:p>
          <w:p w:rsidR="002B422F" w:rsidRDefault="002B422F" w:rsidP="00376677">
            <w:pPr>
              <w:rPr>
                <w:b/>
              </w:rPr>
            </w:pPr>
          </w:p>
        </w:tc>
      </w:tr>
    </w:tbl>
    <w:p w:rsidR="00EB2A42" w:rsidRDefault="00EB2A42" w:rsidP="00EB2A42">
      <w:pPr>
        <w:spacing w:after="0"/>
      </w:pPr>
    </w:p>
    <w:p w:rsidR="006F481D" w:rsidRPr="006F481D" w:rsidRDefault="006F481D" w:rsidP="00EB2A42">
      <w:pPr>
        <w:spacing w:after="0"/>
      </w:pPr>
      <w:r w:rsidRPr="006F481D">
        <w:t xml:space="preserve">Written by: Helen Crooks, </w:t>
      </w:r>
      <w:r>
        <w:t xml:space="preserve">Lead Paediatric </w:t>
      </w:r>
      <w:r w:rsidRPr="006F481D">
        <w:t>Palliative Care Pharmacist</w:t>
      </w:r>
      <w:r>
        <w:t>, CHAS</w:t>
      </w:r>
    </w:p>
    <w:p w:rsidR="006F481D" w:rsidRPr="006F481D" w:rsidRDefault="006F481D" w:rsidP="00EB2A42">
      <w:pPr>
        <w:spacing w:after="0"/>
      </w:pPr>
      <w:r>
        <w:t>Date of Preparation: February 2016</w:t>
      </w:r>
    </w:p>
    <w:sectPr w:rsidR="006F481D" w:rsidRPr="006F481D" w:rsidSect="00C21C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513C3"/>
    <w:multiLevelType w:val="hybridMultilevel"/>
    <w:tmpl w:val="A7CE3E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6677"/>
    <w:rsid w:val="00085414"/>
    <w:rsid w:val="00176DF5"/>
    <w:rsid w:val="001D2C50"/>
    <w:rsid w:val="002515A9"/>
    <w:rsid w:val="002B3062"/>
    <w:rsid w:val="002B422F"/>
    <w:rsid w:val="003040B7"/>
    <w:rsid w:val="00376677"/>
    <w:rsid w:val="003C40EA"/>
    <w:rsid w:val="00430EE5"/>
    <w:rsid w:val="004617B4"/>
    <w:rsid w:val="004C0A74"/>
    <w:rsid w:val="00520C23"/>
    <w:rsid w:val="00540910"/>
    <w:rsid w:val="005F48E4"/>
    <w:rsid w:val="006B34BD"/>
    <w:rsid w:val="006D7CEF"/>
    <w:rsid w:val="006F481D"/>
    <w:rsid w:val="00724B6A"/>
    <w:rsid w:val="00927CAB"/>
    <w:rsid w:val="00950E04"/>
    <w:rsid w:val="00A1373A"/>
    <w:rsid w:val="00A2715B"/>
    <w:rsid w:val="00C21C6B"/>
    <w:rsid w:val="00D75387"/>
    <w:rsid w:val="00EB2A42"/>
    <w:rsid w:val="00F02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E04"/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24B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40B7"/>
    <w:pPr>
      <w:ind w:left="720"/>
      <w:contextualSpacing/>
    </w:pPr>
  </w:style>
  <w:style w:type="paragraph" w:customStyle="1" w:styleId="Default">
    <w:name w:val="Default"/>
    <w:rsid w:val="006F48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4B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40B7"/>
    <w:pPr>
      <w:ind w:left="720"/>
      <w:contextualSpacing/>
    </w:pPr>
  </w:style>
  <w:style w:type="paragraph" w:customStyle="1" w:styleId="Default">
    <w:name w:val="Default"/>
    <w:rsid w:val="006F48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863827">
                      <w:marLeft w:val="0"/>
                      <w:marRight w:val="3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86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85506">
                                  <w:marLeft w:val="2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0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9" w:color="9BCCEB"/>
                                        <w:left w:val="single" w:sz="6" w:space="9" w:color="9BCCEB"/>
                                        <w:bottom w:val="single" w:sz="6" w:space="9" w:color="9BCCEB"/>
                                        <w:right w:val="single" w:sz="6" w:space="9" w:color="9BCCEB"/>
                                      </w:divBdr>
                                      <w:divsChild>
                                        <w:div w:id="21003250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11" w:color="C3DAF5"/>
                                            <w:left w:val="single" w:sz="6" w:space="18" w:color="C3DAF5"/>
                                            <w:bottom w:val="single" w:sz="6" w:space="11" w:color="C3DAF5"/>
                                            <w:right w:val="single" w:sz="6" w:space="18" w:color="C3DAF5"/>
                                          </w:divBdr>
                                          <w:divsChild>
                                            <w:div w:id="1109426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3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782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castle.specials@nuth.nhs.uk" TargetMode="External"/><Relationship Id="rId13" Type="http://schemas.openxmlformats.org/officeDocument/2006/relationships/hyperlink" Target="http://www.medicinesforchildren.org.uk/paraldehyde-seizures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medicinesforchildren.org.uk/midazolam-stopping-seizures" TargetMode="External"/><Relationship Id="rId12" Type="http://schemas.openxmlformats.org/officeDocument/2006/relationships/hyperlink" Target="http://www.appm.org.uk/resources/APPM+Master++Formulary+2015+protected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ppm.org.uk/resources/APPM+Master++Formulary+2015+protected.pdf" TargetMode="External"/><Relationship Id="rId11" Type="http://schemas.openxmlformats.org/officeDocument/2006/relationships/hyperlink" Target="mailto:sppu.orders@stockport.nhs.uk" TargetMode="External"/><Relationship Id="rId5" Type="http://schemas.openxmlformats.org/officeDocument/2006/relationships/hyperlink" Target="mailto:info@specialproducts.biz" TargetMode="External"/><Relationship Id="rId15" Type="http://schemas.openxmlformats.org/officeDocument/2006/relationships/hyperlink" Target="http://www.appm.org.uk/resources/APPM+Master++Formulary+2015+protected.pdf" TargetMode="External"/><Relationship Id="rId10" Type="http://schemas.openxmlformats.org/officeDocument/2006/relationships/hyperlink" Target="http://www.stockportpharmaceuticals.nhs.uk/documents/faxform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ppm.org.uk/resources/APPM+Master++Formulary+2015+protected.pdf" TargetMode="External"/><Relationship Id="rId14" Type="http://schemas.openxmlformats.org/officeDocument/2006/relationships/hyperlink" Target="mailto:graham.conkie@ggc.sco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Crooks</dc:creator>
  <cp:lastModifiedBy>pcorrigan1</cp:lastModifiedBy>
  <cp:revision>2</cp:revision>
  <dcterms:created xsi:type="dcterms:W3CDTF">2016-02-19T14:24:00Z</dcterms:created>
  <dcterms:modified xsi:type="dcterms:W3CDTF">2016-02-19T14:24:00Z</dcterms:modified>
</cp:coreProperties>
</file>